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355C" w14:textId="77777777" w:rsidR="000C501D" w:rsidRDefault="000C501D" w:rsidP="00FA657C">
      <w:pPr>
        <w:rPr>
          <w:rFonts w:ascii="Arial" w:eastAsia="Calibri" w:hAnsi="Arial" w:cs="Arial"/>
          <w:sz w:val="20"/>
          <w:szCs w:val="20"/>
          <w:lang w:bidi="ar-S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01D" w14:paraId="7E9E04C2" w14:textId="77777777" w:rsidTr="000C501D">
        <w:tc>
          <w:tcPr>
            <w:tcW w:w="9350" w:type="dxa"/>
            <w:shd w:val="clear" w:color="auto" w:fill="C4BC96" w:themeFill="background2" w:themeFillShade="BF"/>
          </w:tcPr>
          <w:p w14:paraId="2651C52B" w14:textId="77777777" w:rsidR="000C501D" w:rsidRDefault="000C501D" w:rsidP="000C501D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</w:p>
          <w:p w14:paraId="2A05C5AF" w14:textId="77777777" w:rsidR="000C501D" w:rsidRPr="000C501D" w:rsidRDefault="000C501D" w:rsidP="000C501D">
            <w:pPr>
              <w:jc w:val="center"/>
              <w:rPr>
                <w:rFonts w:ascii="Arial Black" w:eastAsia="Calibri" w:hAnsi="Arial Black" w:cs="Arial"/>
                <w:sz w:val="40"/>
                <w:szCs w:val="40"/>
                <w:lang w:bidi="ar-SA"/>
              </w:rPr>
            </w:pPr>
            <w:r w:rsidRPr="000C501D">
              <w:rPr>
                <w:rFonts w:ascii="Arial Black" w:eastAsia="Calibri" w:hAnsi="Arial Black" w:cs="Arial"/>
                <w:sz w:val="40"/>
                <w:szCs w:val="40"/>
                <w:lang w:bidi="ar-SA"/>
              </w:rPr>
              <w:t>GOOD FAITH EFFORTS</w:t>
            </w:r>
          </w:p>
          <w:p w14:paraId="3A7D93DB" w14:textId="77777777" w:rsidR="000C501D" w:rsidRDefault="000C501D" w:rsidP="000C501D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</w:p>
        </w:tc>
      </w:tr>
    </w:tbl>
    <w:p w14:paraId="0F297C44" w14:textId="77777777" w:rsidR="000C501D" w:rsidRDefault="000C501D" w:rsidP="00FA657C">
      <w:pPr>
        <w:rPr>
          <w:rFonts w:ascii="Arial" w:eastAsia="Calibri" w:hAnsi="Arial" w:cs="Arial"/>
          <w:sz w:val="20"/>
          <w:szCs w:val="20"/>
          <w:lang w:bidi="ar-SA"/>
        </w:rPr>
      </w:pPr>
    </w:p>
    <w:p w14:paraId="459104DC" w14:textId="77777777" w:rsidR="000C501D" w:rsidRDefault="000C501D" w:rsidP="00FA657C">
      <w:pPr>
        <w:rPr>
          <w:rFonts w:ascii="Arial" w:eastAsia="Calibri" w:hAnsi="Arial" w:cs="Arial"/>
          <w:sz w:val="20"/>
          <w:szCs w:val="20"/>
        </w:rPr>
      </w:pPr>
    </w:p>
    <w:p w14:paraId="677442B0" w14:textId="77777777" w:rsidR="000C501D" w:rsidRPr="000C501D" w:rsidRDefault="00693615" w:rsidP="00FA657C">
      <w:pPr>
        <w:rPr>
          <w:rFonts w:ascii="Arial" w:eastAsia="Calibri" w:hAnsi="Arial" w:cs="Arial"/>
          <w:sz w:val="20"/>
          <w:szCs w:val="20"/>
        </w:rPr>
      </w:pPr>
      <w:r w:rsidRPr="000C501D">
        <w:rPr>
          <w:rFonts w:ascii="Arial" w:eastAsia="Calibri" w:hAnsi="Arial" w:cs="Arial"/>
          <w:sz w:val="20"/>
          <w:szCs w:val="20"/>
        </w:rPr>
        <w:t>T</w:t>
      </w:r>
      <w:r w:rsidR="008308B8" w:rsidRPr="000C501D">
        <w:rPr>
          <w:rFonts w:ascii="Arial" w:eastAsia="Calibri" w:hAnsi="Arial" w:cs="Arial"/>
          <w:sz w:val="20"/>
          <w:szCs w:val="20"/>
        </w:rPr>
        <w:t xml:space="preserve">o be </w:t>
      </w:r>
      <w:r w:rsidR="000508D5">
        <w:rPr>
          <w:rFonts w:ascii="Arial" w:eastAsia="Calibri" w:hAnsi="Arial" w:cs="Arial"/>
          <w:sz w:val="20"/>
          <w:szCs w:val="20"/>
        </w:rPr>
        <w:t xml:space="preserve">a </w:t>
      </w:r>
      <w:r w:rsidR="008308B8" w:rsidRPr="000C501D">
        <w:rPr>
          <w:rFonts w:ascii="Arial" w:eastAsia="Calibri" w:hAnsi="Arial" w:cs="Arial"/>
          <w:sz w:val="20"/>
          <w:szCs w:val="20"/>
        </w:rPr>
        <w:t>responsible and/or responsive</w:t>
      </w:r>
      <w:r w:rsidR="00FA657C" w:rsidRPr="000C501D">
        <w:rPr>
          <w:rFonts w:ascii="Arial" w:eastAsia="Calibri" w:hAnsi="Arial" w:cs="Arial"/>
          <w:sz w:val="20"/>
          <w:szCs w:val="20"/>
        </w:rPr>
        <w:t xml:space="preserve"> </w:t>
      </w:r>
      <w:r w:rsidR="00D4186A" w:rsidRPr="000C501D">
        <w:rPr>
          <w:rFonts w:ascii="Arial" w:eastAsia="Calibri" w:hAnsi="Arial" w:cs="Arial"/>
          <w:sz w:val="20"/>
          <w:szCs w:val="20"/>
        </w:rPr>
        <w:t>B</w:t>
      </w:r>
      <w:r w:rsidR="00FA657C" w:rsidRPr="000C501D">
        <w:rPr>
          <w:rFonts w:ascii="Arial" w:eastAsia="Calibri" w:hAnsi="Arial" w:cs="Arial"/>
          <w:sz w:val="20"/>
          <w:szCs w:val="20"/>
        </w:rPr>
        <w:t>idder</w:t>
      </w:r>
      <w:r w:rsidR="00F362A8">
        <w:rPr>
          <w:rFonts w:ascii="Arial" w:eastAsia="Calibri" w:hAnsi="Arial" w:cs="Arial"/>
          <w:sz w:val="20"/>
          <w:szCs w:val="20"/>
        </w:rPr>
        <w:t>, your firm</w:t>
      </w:r>
      <w:r w:rsidR="00FA657C" w:rsidRPr="000C501D">
        <w:rPr>
          <w:rFonts w:ascii="Arial" w:eastAsia="Calibri" w:hAnsi="Arial" w:cs="Arial"/>
          <w:sz w:val="20"/>
          <w:szCs w:val="20"/>
        </w:rPr>
        <w:t xml:space="preserve"> must </w:t>
      </w:r>
      <w:r w:rsidR="005D0761">
        <w:rPr>
          <w:rFonts w:ascii="Arial" w:eastAsia="Calibri" w:hAnsi="Arial" w:cs="Arial"/>
          <w:sz w:val="20"/>
          <w:szCs w:val="20"/>
        </w:rPr>
        <w:t xml:space="preserve">meet the </w:t>
      </w:r>
      <w:r w:rsidR="000D36C3">
        <w:rPr>
          <w:rFonts w:ascii="Arial" w:eastAsia="Calibri" w:hAnsi="Arial" w:cs="Arial"/>
          <w:sz w:val="20"/>
          <w:szCs w:val="20"/>
        </w:rPr>
        <w:t>Disadvantaged (DBE) or Minority and Women Owned Business Enterprise</w:t>
      </w:r>
      <w:r w:rsidR="00FC7E1C">
        <w:rPr>
          <w:rFonts w:ascii="Arial" w:eastAsia="Calibri" w:hAnsi="Arial" w:cs="Arial"/>
          <w:sz w:val="20"/>
          <w:szCs w:val="20"/>
        </w:rPr>
        <w:t xml:space="preserve"> (MBE/WBE) and Service -Disabled Veteran-Owned Businesses</w:t>
      </w:r>
      <w:r w:rsidR="00FF6531">
        <w:rPr>
          <w:rFonts w:ascii="Arial" w:eastAsia="Calibri" w:hAnsi="Arial" w:cs="Arial"/>
          <w:sz w:val="20"/>
          <w:szCs w:val="20"/>
        </w:rPr>
        <w:t xml:space="preserve"> </w:t>
      </w:r>
      <w:r w:rsidR="00FC7E1C">
        <w:rPr>
          <w:rFonts w:ascii="Arial" w:eastAsia="Calibri" w:hAnsi="Arial" w:cs="Arial"/>
          <w:sz w:val="20"/>
          <w:szCs w:val="20"/>
        </w:rPr>
        <w:t xml:space="preserve">(SDVOB) </w:t>
      </w:r>
      <w:r w:rsidR="005D0761">
        <w:rPr>
          <w:rFonts w:ascii="Arial" w:eastAsia="Calibri" w:hAnsi="Arial" w:cs="Arial"/>
          <w:sz w:val="20"/>
          <w:szCs w:val="20"/>
        </w:rPr>
        <w:t>goal(s)</w:t>
      </w:r>
      <w:r w:rsidR="000D36C3">
        <w:rPr>
          <w:rFonts w:ascii="Arial" w:eastAsia="Calibri" w:hAnsi="Arial" w:cs="Arial"/>
          <w:sz w:val="20"/>
          <w:szCs w:val="20"/>
        </w:rPr>
        <w:t xml:space="preserve"> on the contract</w:t>
      </w:r>
      <w:r w:rsidR="005D0761">
        <w:rPr>
          <w:rFonts w:ascii="Arial" w:eastAsia="Calibri" w:hAnsi="Arial" w:cs="Arial"/>
          <w:sz w:val="20"/>
          <w:szCs w:val="20"/>
        </w:rPr>
        <w:t xml:space="preserve"> or provide documentation to support</w:t>
      </w:r>
      <w:r w:rsidR="00FA657C" w:rsidRPr="000C501D">
        <w:rPr>
          <w:rFonts w:ascii="Arial" w:eastAsia="Calibri" w:hAnsi="Arial" w:cs="Arial"/>
          <w:sz w:val="20"/>
          <w:szCs w:val="20"/>
        </w:rPr>
        <w:t xml:space="preserve"> good faith efforts </w:t>
      </w:r>
      <w:r w:rsidR="000D36C3">
        <w:rPr>
          <w:rFonts w:ascii="Arial" w:eastAsia="Calibri" w:hAnsi="Arial" w:cs="Arial"/>
          <w:sz w:val="20"/>
          <w:szCs w:val="20"/>
        </w:rPr>
        <w:t xml:space="preserve">taken </w:t>
      </w:r>
      <w:r w:rsidR="00FA657C" w:rsidRPr="000C501D">
        <w:rPr>
          <w:rFonts w:ascii="Arial" w:eastAsia="Calibri" w:hAnsi="Arial" w:cs="Arial"/>
          <w:sz w:val="20"/>
          <w:szCs w:val="20"/>
        </w:rPr>
        <w:t xml:space="preserve">to meet </w:t>
      </w:r>
      <w:r w:rsidR="000D36C3">
        <w:rPr>
          <w:rFonts w:ascii="Arial" w:eastAsia="Calibri" w:hAnsi="Arial" w:cs="Arial"/>
          <w:sz w:val="20"/>
          <w:szCs w:val="20"/>
        </w:rPr>
        <w:t>those</w:t>
      </w:r>
      <w:r w:rsidR="00FA657C" w:rsidRPr="000C501D">
        <w:rPr>
          <w:rFonts w:ascii="Arial" w:eastAsia="Calibri" w:hAnsi="Arial" w:cs="Arial"/>
          <w:sz w:val="20"/>
          <w:szCs w:val="20"/>
        </w:rPr>
        <w:t xml:space="preserve"> goal</w:t>
      </w:r>
      <w:r w:rsidR="00D4186A" w:rsidRPr="000C501D">
        <w:rPr>
          <w:rFonts w:ascii="Arial" w:eastAsia="Calibri" w:hAnsi="Arial" w:cs="Arial"/>
          <w:sz w:val="20"/>
          <w:szCs w:val="20"/>
        </w:rPr>
        <w:t xml:space="preserve">(s). </w:t>
      </w:r>
      <w:r w:rsidR="000D36C3">
        <w:rPr>
          <w:rFonts w:ascii="Arial" w:eastAsia="Calibri" w:hAnsi="Arial" w:cs="Arial"/>
          <w:sz w:val="20"/>
          <w:szCs w:val="20"/>
        </w:rPr>
        <w:t xml:space="preserve">Actions </w:t>
      </w:r>
      <w:r w:rsidR="000C501D" w:rsidRPr="000C501D">
        <w:rPr>
          <w:rFonts w:ascii="Arial" w:eastAsia="Calibri" w:hAnsi="Arial" w:cs="Arial"/>
          <w:sz w:val="20"/>
          <w:szCs w:val="20"/>
        </w:rPr>
        <w:t xml:space="preserve">to meet the goal should begin immediately upon </w:t>
      </w:r>
      <w:r w:rsidR="00EB766C">
        <w:rPr>
          <w:rFonts w:ascii="Arial" w:eastAsia="Calibri" w:hAnsi="Arial" w:cs="Arial"/>
          <w:sz w:val="20"/>
          <w:szCs w:val="20"/>
        </w:rPr>
        <w:t xml:space="preserve">a firm’s </w:t>
      </w:r>
      <w:r w:rsidR="00B13CB5">
        <w:rPr>
          <w:rFonts w:ascii="Arial" w:eastAsia="Calibri" w:hAnsi="Arial" w:cs="Arial"/>
          <w:sz w:val="20"/>
          <w:szCs w:val="20"/>
        </w:rPr>
        <w:t>intent</w:t>
      </w:r>
      <w:r w:rsidR="000C501D" w:rsidRPr="000C501D">
        <w:rPr>
          <w:rFonts w:ascii="Arial" w:eastAsia="Calibri" w:hAnsi="Arial" w:cs="Arial"/>
          <w:sz w:val="20"/>
          <w:szCs w:val="20"/>
        </w:rPr>
        <w:t xml:space="preserve"> to work for NYSDOT on a project.</w:t>
      </w:r>
    </w:p>
    <w:p w14:paraId="722F40D0" w14:textId="77777777" w:rsidR="000C501D" w:rsidRPr="000C501D" w:rsidRDefault="000C501D" w:rsidP="00FA657C">
      <w:pPr>
        <w:rPr>
          <w:rFonts w:ascii="Arial" w:eastAsia="Calibri" w:hAnsi="Arial" w:cs="Arial"/>
          <w:sz w:val="20"/>
          <w:szCs w:val="20"/>
        </w:rPr>
      </w:pPr>
    </w:p>
    <w:p w14:paraId="19D65477" w14:textId="77777777" w:rsidR="00D4186A" w:rsidRPr="000C501D" w:rsidRDefault="00D4186A" w:rsidP="00FA657C">
      <w:pPr>
        <w:rPr>
          <w:rFonts w:ascii="Arial" w:eastAsia="Calibri" w:hAnsi="Arial" w:cs="Arial"/>
          <w:sz w:val="20"/>
          <w:szCs w:val="20"/>
        </w:rPr>
      </w:pPr>
      <w:r w:rsidRPr="000C501D">
        <w:rPr>
          <w:rFonts w:ascii="Arial" w:eastAsia="Calibri" w:hAnsi="Arial" w:cs="Arial"/>
          <w:sz w:val="20"/>
          <w:szCs w:val="20"/>
        </w:rPr>
        <w:t>The B</w:t>
      </w:r>
      <w:r w:rsidR="00FA657C" w:rsidRPr="000C501D">
        <w:rPr>
          <w:rFonts w:ascii="Arial" w:eastAsia="Calibri" w:hAnsi="Arial" w:cs="Arial"/>
          <w:sz w:val="20"/>
          <w:szCs w:val="20"/>
        </w:rPr>
        <w:t xml:space="preserve">idder can meet this requirement </w:t>
      </w:r>
      <w:r w:rsidR="00A84328" w:rsidRPr="000C501D">
        <w:rPr>
          <w:rFonts w:ascii="Arial" w:eastAsia="Calibri" w:hAnsi="Arial" w:cs="Arial"/>
          <w:sz w:val="20"/>
          <w:szCs w:val="20"/>
        </w:rPr>
        <w:t xml:space="preserve">during the pre-award or pre-designation stage </w:t>
      </w:r>
      <w:r w:rsidRPr="000C501D">
        <w:rPr>
          <w:rFonts w:ascii="Arial" w:eastAsia="Calibri" w:hAnsi="Arial" w:cs="Arial"/>
          <w:sz w:val="20"/>
          <w:szCs w:val="20"/>
        </w:rPr>
        <w:t xml:space="preserve">in </w:t>
      </w:r>
      <w:r w:rsidR="00FA657C" w:rsidRPr="000C501D">
        <w:rPr>
          <w:rFonts w:ascii="Arial" w:eastAsia="Calibri" w:hAnsi="Arial" w:cs="Arial"/>
          <w:sz w:val="20"/>
          <w:szCs w:val="20"/>
        </w:rPr>
        <w:t>two ways</w:t>
      </w:r>
      <w:r w:rsidRPr="000C501D">
        <w:rPr>
          <w:rFonts w:ascii="Arial" w:eastAsia="Calibri" w:hAnsi="Arial" w:cs="Arial"/>
          <w:sz w:val="20"/>
          <w:szCs w:val="20"/>
        </w:rPr>
        <w:t>:</w:t>
      </w:r>
    </w:p>
    <w:p w14:paraId="4E731818" w14:textId="77777777" w:rsidR="00D4186A" w:rsidRPr="000C501D" w:rsidRDefault="00D4186A" w:rsidP="00FA657C">
      <w:pPr>
        <w:rPr>
          <w:rFonts w:ascii="Arial" w:eastAsia="Calibri" w:hAnsi="Arial" w:cs="Arial"/>
          <w:sz w:val="20"/>
          <w:szCs w:val="20"/>
        </w:rPr>
      </w:pPr>
    </w:p>
    <w:p w14:paraId="307039C5" w14:textId="77777777" w:rsidR="00D4186A" w:rsidRPr="000C501D" w:rsidRDefault="00D4186A" w:rsidP="00D4186A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 w:rsidRPr="000C501D">
        <w:rPr>
          <w:rFonts w:ascii="Arial" w:eastAsia="Calibri" w:hAnsi="Arial" w:cs="Arial"/>
          <w:sz w:val="20"/>
          <w:szCs w:val="20"/>
        </w:rPr>
        <w:t>The B</w:t>
      </w:r>
      <w:r w:rsidR="00FA657C" w:rsidRPr="000C501D">
        <w:rPr>
          <w:rFonts w:ascii="Arial" w:eastAsia="Calibri" w:hAnsi="Arial" w:cs="Arial"/>
          <w:sz w:val="20"/>
          <w:szCs w:val="20"/>
        </w:rPr>
        <w:t xml:space="preserve">idder </w:t>
      </w:r>
      <w:r w:rsidR="00977418" w:rsidRPr="000C501D">
        <w:rPr>
          <w:rFonts w:ascii="Arial" w:eastAsia="Calibri" w:hAnsi="Arial" w:cs="Arial"/>
          <w:sz w:val="20"/>
          <w:szCs w:val="20"/>
        </w:rPr>
        <w:t>d</w:t>
      </w:r>
      <w:r w:rsidR="00FA657C" w:rsidRPr="000C501D">
        <w:rPr>
          <w:rFonts w:ascii="Arial" w:eastAsia="Calibri" w:hAnsi="Arial" w:cs="Arial"/>
          <w:sz w:val="20"/>
          <w:szCs w:val="20"/>
        </w:rPr>
        <w:t>ocument</w:t>
      </w:r>
      <w:r w:rsidR="00977418" w:rsidRPr="000C501D">
        <w:rPr>
          <w:rFonts w:ascii="Arial" w:eastAsia="Calibri" w:hAnsi="Arial" w:cs="Arial"/>
          <w:sz w:val="20"/>
          <w:szCs w:val="20"/>
        </w:rPr>
        <w:t>s</w:t>
      </w:r>
      <w:r w:rsidR="00777E57" w:rsidRPr="000C501D">
        <w:rPr>
          <w:rFonts w:ascii="Arial" w:eastAsia="Calibri" w:hAnsi="Arial" w:cs="Arial"/>
          <w:sz w:val="20"/>
          <w:szCs w:val="20"/>
        </w:rPr>
        <w:t xml:space="preserve"> </w:t>
      </w:r>
      <w:r w:rsidR="00FA657C" w:rsidRPr="000C501D">
        <w:rPr>
          <w:rFonts w:ascii="Arial" w:eastAsia="Calibri" w:hAnsi="Arial" w:cs="Arial"/>
          <w:sz w:val="20"/>
          <w:szCs w:val="20"/>
        </w:rPr>
        <w:t xml:space="preserve">commitments </w:t>
      </w:r>
      <w:r w:rsidRPr="000C501D">
        <w:rPr>
          <w:rFonts w:ascii="Arial" w:eastAsia="Calibri" w:hAnsi="Arial" w:cs="Arial"/>
          <w:sz w:val="20"/>
          <w:szCs w:val="20"/>
        </w:rPr>
        <w:t>to meeting the goal</w:t>
      </w:r>
      <w:r w:rsidR="005D0761">
        <w:rPr>
          <w:rFonts w:ascii="Arial" w:eastAsia="Calibri" w:hAnsi="Arial" w:cs="Arial"/>
          <w:sz w:val="20"/>
          <w:szCs w:val="20"/>
        </w:rPr>
        <w:t>(s)</w:t>
      </w:r>
      <w:r w:rsidR="00A84328" w:rsidRPr="000C501D">
        <w:rPr>
          <w:rFonts w:ascii="Arial" w:eastAsia="Calibri" w:hAnsi="Arial" w:cs="Arial"/>
          <w:sz w:val="20"/>
          <w:szCs w:val="20"/>
        </w:rPr>
        <w:t>.</w:t>
      </w:r>
      <w:r w:rsidR="00FA657C" w:rsidRPr="000C501D">
        <w:rPr>
          <w:rFonts w:ascii="Arial" w:eastAsia="Calibri" w:hAnsi="Arial" w:cs="Arial"/>
          <w:sz w:val="20"/>
          <w:szCs w:val="20"/>
        </w:rPr>
        <w:t xml:space="preserve"> </w:t>
      </w:r>
    </w:p>
    <w:p w14:paraId="5C65075E" w14:textId="77777777" w:rsidR="0038410F" w:rsidRPr="000C501D" w:rsidRDefault="005D0761" w:rsidP="000D36C3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="00D4186A" w:rsidRPr="000C501D">
        <w:rPr>
          <w:rFonts w:ascii="Arial" w:eastAsia="Calibri" w:hAnsi="Arial" w:cs="Arial"/>
          <w:sz w:val="20"/>
          <w:szCs w:val="20"/>
        </w:rPr>
        <w:t>he B</w:t>
      </w:r>
      <w:r w:rsidR="00B51E43" w:rsidRPr="000C501D">
        <w:rPr>
          <w:rFonts w:ascii="Arial" w:eastAsia="Calibri" w:hAnsi="Arial" w:cs="Arial"/>
          <w:sz w:val="20"/>
          <w:szCs w:val="20"/>
        </w:rPr>
        <w:t xml:space="preserve">idder </w:t>
      </w:r>
      <w:r w:rsidR="00977418" w:rsidRPr="000C501D">
        <w:rPr>
          <w:rFonts w:ascii="Arial" w:eastAsia="Calibri" w:hAnsi="Arial" w:cs="Arial"/>
          <w:sz w:val="20"/>
          <w:szCs w:val="20"/>
        </w:rPr>
        <w:t xml:space="preserve">does </w:t>
      </w:r>
      <w:r w:rsidR="00D4186A" w:rsidRPr="000C501D">
        <w:rPr>
          <w:rFonts w:ascii="Arial" w:eastAsia="Calibri" w:hAnsi="Arial" w:cs="Arial"/>
          <w:sz w:val="20"/>
          <w:szCs w:val="20"/>
        </w:rPr>
        <w:t>not document c</w:t>
      </w:r>
      <w:r w:rsidR="008308B8" w:rsidRPr="000C501D">
        <w:rPr>
          <w:rFonts w:ascii="Arial" w:eastAsia="Calibri" w:hAnsi="Arial" w:cs="Arial"/>
          <w:sz w:val="20"/>
          <w:szCs w:val="20"/>
        </w:rPr>
        <w:t>ommitments to meeting the goal</w:t>
      </w:r>
      <w:r w:rsidR="00D4186A" w:rsidRPr="000C501D">
        <w:rPr>
          <w:rFonts w:ascii="Arial" w:eastAsia="Calibri" w:hAnsi="Arial" w:cs="Arial"/>
          <w:sz w:val="20"/>
          <w:szCs w:val="20"/>
        </w:rPr>
        <w:t>,</w:t>
      </w:r>
      <w:r w:rsidR="00F362A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however</w:t>
      </w:r>
      <w:r w:rsidR="000C501D">
        <w:rPr>
          <w:rFonts w:ascii="Arial" w:eastAsia="Calibri" w:hAnsi="Arial" w:cs="Arial"/>
          <w:sz w:val="20"/>
          <w:szCs w:val="20"/>
        </w:rPr>
        <w:t xml:space="preserve"> provide</w:t>
      </w:r>
      <w:r>
        <w:rPr>
          <w:rFonts w:ascii="Arial" w:eastAsia="Calibri" w:hAnsi="Arial" w:cs="Arial"/>
          <w:sz w:val="20"/>
          <w:szCs w:val="20"/>
        </w:rPr>
        <w:t>s</w:t>
      </w:r>
      <w:r w:rsidR="00F362A8">
        <w:rPr>
          <w:rFonts w:ascii="Arial" w:eastAsia="Calibri" w:hAnsi="Arial" w:cs="Arial"/>
          <w:sz w:val="20"/>
          <w:szCs w:val="20"/>
        </w:rPr>
        <w:t xml:space="preserve"> detailed</w:t>
      </w:r>
      <w:r w:rsidR="000C501D">
        <w:rPr>
          <w:rFonts w:ascii="Arial" w:eastAsia="Calibri" w:hAnsi="Arial" w:cs="Arial"/>
          <w:sz w:val="20"/>
          <w:szCs w:val="20"/>
        </w:rPr>
        <w:t xml:space="preserve"> concrete, tangible, result oriented efforts </w:t>
      </w:r>
      <w:r w:rsidR="00F362A8">
        <w:rPr>
          <w:rFonts w:ascii="Arial" w:eastAsia="Calibri" w:hAnsi="Arial" w:cs="Arial"/>
          <w:sz w:val="20"/>
          <w:szCs w:val="20"/>
        </w:rPr>
        <w:t>showing</w:t>
      </w:r>
      <w:r w:rsidR="000C501D">
        <w:rPr>
          <w:rFonts w:ascii="Arial" w:eastAsia="Calibri" w:hAnsi="Arial" w:cs="Arial"/>
          <w:sz w:val="20"/>
          <w:szCs w:val="20"/>
        </w:rPr>
        <w:t xml:space="preserve"> their attempt to fulfill the goal(s). </w:t>
      </w:r>
    </w:p>
    <w:p w14:paraId="2AD881F5" w14:textId="77777777" w:rsidR="00693615" w:rsidRPr="000C501D" w:rsidRDefault="00693615" w:rsidP="00693615">
      <w:pPr>
        <w:pStyle w:val="ListParagraph"/>
        <w:rPr>
          <w:rFonts w:ascii="Arial" w:hAnsi="Arial"/>
          <w:b/>
          <w:sz w:val="20"/>
          <w:szCs w:val="20"/>
        </w:rPr>
      </w:pPr>
    </w:p>
    <w:p w14:paraId="4EFE618E" w14:textId="77777777" w:rsidR="00693615" w:rsidRPr="00F362A8" w:rsidRDefault="00693615" w:rsidP="00F362A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F362A8">
        <w:rPr>
          <w:rFonts w:ascii="Arial" w:eastAsia="Calibri" w:hAnsi="Arial" w:cs="Arial"/>
          <w:b/>
          <w:sz w:val="22"/>
          <w:szCs w:val="22"/>
          <w:u w:val="single"/>
        </w:rPr>
        <w:t>Pre-</w:t>
      </w:r>
      <w:r w:rsidR="00EB766C" w:rsidRPr="00F362A8">
        <w:rPr>
          <w:rFonts w:ascii="Arial" w:eastAsia="Calibri" w:hAnsi="Arial" w:cs="Arial"/>
          <w:b/>
          <w:sz w:val="22"/>
          <w:szCs w:val="22"/>
          <w:u w:val="single"/>
        </w:rPr>
        <w:t>Letting &amp;</w:t>
      </w:r>
      <w:r w:rsidR="00A84328" w:rsidRPr="00F362A8">
        <w:rPr>
          <w:rFonts w:ascii="Arial" w:eastAsia="Calibri" w:hAnsi="Arial" w:cs="Arial"/>
          <w:b/>
          <w:sz w:val="22"/>
          <w:szCs w:val="22"/>
          <w:u w:val="single"/>
        </w:rPr>
        <w:t xml:space="preserve"> Pre-Designation </w:t>
      </w:r>
      <w:r w:rsidRPr="00F362A8">
        <w:rPr>
          <w:rFonts w:ascii="Arial" w:eastAsia="Calibri" w:hAnsi="Arial" w:cs="Arial"/>
          <w:b/>
          <w:sz w:val="22"/>
          <w:szCs w:val="22"/>
          <w:u w:val="single"/>
        </w:rPr>
        <w:t>Good Faith Efforts</w:t>
      </w:r>
    </w:p>
    <w:p w14:paraId="0FF15E5A" w14:textId="77777777" w:rsidR="00693615" w:rsidRPr="000C501D" w:rsidRDefault="00693615" w:rsidP="00F362A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9BD6D66" w14:textId="77777777" w:rsidR="00693615" w:rsidRPr="000C501D" w:rsidRDefault="00F362A8" w:rsidP="00A8432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Once you have made the decision to entertain bidding on a project you should, at a minimum</w:t>
      </w:r>
      <w:r w:rsidR="00693615" w:rsidRPr="000C501D">
        <w:rPr>
          <w:rFonts w:ascii="Arial" w:eastAsia="Calibri" w:hAnsi="Arial" w:cs="Arial"/>
          <w:sz w:val="20"/>
          <w:szCs w:val="20"/>
        </w:rPr>
        <w:t>:</w:t>
      </w:r>
    </w:p>
    <w:p w14:paraId="331ABF91" w14:textId="77777777" w:rsidR="00693615" w:rsidRPr="000C501D" w:rsidRDefault="00693615" w:rsidP="00693615">
      <w:pPr>
        <w:rPr>
          <w:rFonts w:ascii="Arial" w:eastAsia="Calibri" w:hAnsi="Arial" w:cs="Arial"/>
          <w:sz w:val="20"/>
          <w:szCs w:val="20"/>
        </w:rPr>
      </w:pPr>
    </w:p>
    <w:p w14:paraId="2433EB87" w14:textId="77777777" w:rsidR="00693615" w:rsidRPr="000C501D" w:rsidRDefault="00693615" w:rsidP="0069361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0C501D">
        <w:rPr>
          <w:rFonts w:ascii="Arial" w:eastAsia="Calibri" w:hAnsi="Arial" w:cs="Arial"/>
          <w:sz w:val="20"/>
          <w:szCs w:val="20"/>
        </w:rPr>
        <w:t>Analyze each item in the scope of work for a project and determine what items of work will</w:t>
      </w:r>
    </w:p>
    <w:p w14:paraId="76DF6950" w14:textId="77777777" w:rsidR="00693615" w:rsidRDefault="00693615" w:rsidP="00693615">
      <w:pPr>
        <w:pStyle w:val="ListParagraph"/>
        <w:rPr>
          <w:rFonts w:ascii="Arial" w:eastAsia="Calibri" w:hAnsi="Arial" w:cs="Arial"/>
          <w:sz w:val="20"/>
          <w:szCs w:val="20"/>
        </w:rPr>
      </w:pPr>
      <w:r w:rsidRPr="000C501D">
        <w:rPr>
          <w:rFonts w:ascii="Arial" w:eastAsia="Calibri" w:hAnsi="Arial" w:cs="Arial"/>
          <w:sz w:val="20"/>
          <w:szCs w:val="20"/>
        </w:rPr>
        <w:t>provide subcontracting opportunities;</w:t>
      </w:r>
    </w:p>
    <w:p w14:paraId="73D82901" w14:textId="77777777" w:rsidR="00FF6531" w:rsidRPr="000C501D" w:rsidRDefault="00FF6531" w:rsidP="00693615">
      <w:pPr>
        <w:pStyle w:val="ListParagraph"/>
        <w:rPr>
          <w:rFonts w:ascii="Arial" w:eastAsia="Calibri" w:hAnsi="Arial" w:cs="Arial"/>
          <w:sz w:val="20"/>
          <w:szCs w:val="20"/>
        </w:rPr>
      </w:pPr>
    </w:p>
    <w:p w14:paraId="46AA10CF" w14:textId="77777777" w:rsidR="00A84328" w:rsidRPr="000C501D" w:rsidRDefault="00693615" w:rsidP="0069361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0C501D">
        <w:rPr>
          <w:rFonts w:ascii="Arial" w:eastAsia="Calibri" w:hAnsi="Arial" w:cs="Arial"/>
          <w:sz w:val="20"/>
          <w:szCs w:val="20"/>
        </w:rPr>
        <w:t xml:space="preserve">Search the appropriate </w:t>
      </w:r>
      <w:r w:rsidR="00A84328" w:rsidRPr="000C501D">
        <w:rPr>
          <w:rFonts w:ascii="Arial" w:eastAsia="Calibri" w:hAnsi="Arial" w:cs="Arial"/>
          <w:sz w:val="20"/>
          <w:szCs w:val="20"/>
        </w:rPr>
        <w:t>registry for certified</w:t>
      </w:r>
      <w:r w:rsidR="005D0761">
        <w:rPr>
          <w:rFonts w:ascii="Arial" w:eastAsia="Calibri" w:hAnsi="Arial" w:cs="Arial"/>
          <w:sz w:val="20"/>
          <w:szCs w:val="20"/>
        </w:rPr>
        <w:t xml:space="preserve"> vendors</w:t>
      </w:r>
      <w:r w:rsidR="00A84328" w:rsidRPr="000C501D">
        <w:rPr>
          <w:rFonts w:ascii="Arial" w:eastAsia="Calibri" w:hAnsi="Arial" w:cs="Arial"/>
          <w:sz w:val="20"/>
          <w:szCs w:val="20"/>
        </w:rPr>
        <w:t>:</w:t>
      </w:r>
    </w:p>
    <w:p w14:paraId="0553C260" w14:textId="77777777" w:rsidR="00A84328" w:rsidRPr="00FC7E1C" w:rsidRDefault="00A84328" w:rsidP="00A84328">
      <w:pPr>
        <w:pStyle w:val="ListParagraph"/>
        <w:numPr>
          <w:ilvl w:val="1"/>
          <w:numId w:val="3"/>
        </w:numPr>
        <w:rPr>
          <w:rFonts w:ascii="Arial" w:eastAsia="Calibri" w:hAnsi="Arial" w:cs="Arial"/>
          <w:sz w:val="20"/>
          <w:szCs w:val="20"/>
        </w:rPr>
      </w:pPr>
      <w:r w:rsidRPr="000C501D">
        <w:rPr>
          <w:rFonts w:ascii="Arial" w:eastAsia="Calibri" w:hAnsi="Arial" w:cs="Arial"/>
          <w:sz w:val="20"/>
          <w:szCs w:val="20"/>
        </w:rPr>
        <w:t xml:space="preserve">For DBE </w:t>
      </w:r>
      <w:r w:rsidR="00E1659D">
        <w:rPr>
          <w:rFonts w:ascii="Arial" w:eastAsia="Calibri" w:hAnsi="Arial" w:cs="Arial"/>
          <w:sz w:val="20"/>
          <w:szCs w:val="20"/>
        </w:rPr>
        <w:t>vendor</w:t>
      </w:r>
      <w:r w:rsidRPr="000C501D">
        <w:rPr>
          <w:rFonts w:ascii="Arial" w:eastAsia="Calibri" w:hAnsi="Arial" w:cs="Arial"/>
          <w:sz w:val="20"/>
          <w:szCs w:val="20"/>
        </w:rPr>
        <w:t xml:space="preserve"> search</w:t>
      </w:r>
      <w:r w:rsidR="00FC7E1C">
        <w:rPr>
          <w:rFonts w:ascii="Arial" w:eastAsia="Calibri" w:hAnsi="Arial" w:cs="Arial"/>
          <w:sz w:val="20"/>
          <w:szCs w:val="20"/>
        </w:rPr>
        <w:t xml:space="preserve"> </w:t>
      </w:r>
      <w:r w:rsidRPr="000C501D">
        <w:rPr>
          <w:rFonts w:ascii="Arial" w:eastAsia="Calibri" w:hAnsi="Arial" w:cs="Arial"/>
          <w:sz w:val="20"/>
          <w:szCs w:val="20"/>
        </w:rPr>
        <w:t xml:space="preserve">UCP </w:t>
      </w:r>
      <w:r w:rsidR="00693615" w:rsidRPr="000C501D">
        <w:rPr>
          <w:rFonts w:ascii="Arial" w:eastAsia="Calibri" w:hAnsi="Arial" w:cs="Arial"/>
          <w:sz w:val="20"/>
          <w:szCs w:val="20"/>
        </w:rPr>
        <w:t xml:space="preserve">Directory </w:t>
      </w:r>
      <w:hyperlink r:id="rId7" w:history="1">
        <w:r w:rsidR="00FC7E1C" w:rsidRPr="00886155">
          <w:rPr>
            <w:rStyle w:val="Hyperlink"/>
            <w:rFonts w:ascii="Arial" w:eastAsia="Calibri" w:hAnsi="Arial" w:cs="Arial"/>
            <w:i/>
            <w:sz w:val="20"/>
            <w:szCs w:val="20"/>
          </w:rPr>
          <w:t>https://nysucp.newnycontracts.com</w:t>
        </w:r>
      </w:hyperlink>
    </w:p>
    <w:p w14:paraId="795482EF" w14:textId="77777777" w:rsidR="00A84328" w:rsidRPr="00FC7E1C" w:rsidRDefault="00A84328" w:rsidP="00A84328">
      <w:pPr>
        <w:pStyle w:val="ListParagraph"/>
        <w:numPr>
          <w:ilvl w:val="1"/>
          <w:numId w:val="3"/>
        </w:numPr>
        <w:rPr>
          <w:rFonts w:ascii="Arial" w:eastAsia="Calibri" w:hAnsi="Arial" w:cs="Arial"/>
          <w:sz w:val="20"/>
          <w:szCs w:val="20"/>
        </w:rPr>
      </w:pPr>
      <w:r w:rsidRPr="000C501D">
        <w:rPr>
          <w:rFonts w:ascii="Arial" w:eastAsia="Calibri" w:hAnsi="Arial" w:cs="Arial"/>
          <w:sz w:val="20"/>
          <w:szCs w:val="20"/>
        </w:rPr>
        <w:t xml:space="preserve">For MBE and WBE </w:t>
      </w:r>
      <w:r w:rsidR="00E1659D">
        <w:rPr>
          <w:rFonts w:ascii="Arial" w:eastAsia="Calibri" w:hAnsi="Arial" w:cs="Arial"/>
          <w:sz w:val="20"/>
          <w:szCs w:val="20"/>
        </w:rPr>
        <w:t>vendor</w:t>
      </w:r>
      <w:r w:rsidRPr="000C501D">
        <w:rPr>
          <w:rFonts w:ascii="Arial" w:eastAsia="Calibri" w:hAnsi="Arial" w:cs="Arial"/>
          <w:sz w:val="20"/>
          <w:szCs w:val="20"/>
        </w:rPr>
        <w:t xml:space="preserve"> search</w:t>
      </w:r>
      <w:r w:rsidR="00FC7E1C">
        <w:rPr>
          <w:rFonts w:ascii="Arial" w:eastAsia="Calibri" w:hAnsi="Arial" w:cs="Arial"/>
          <w:sz w:val="20"/>
          <w:szCs w:val="20"/>
        </w:rPr>
        <w:t xml:space="preserve"> </w:t>
      </w:r>
      <w:r w:rsidRPr="000C501D">
        <w:rPr>
          <w:rFonts w:ascii="Arial" w:eastAsia="Calibri" w:hAnsi="Arial" w:cs="Arial"/>
          <w:sz w:val="20"/>
          <w:szCs w:val="20"/>
        </w:rPr>
        <w:t xml:space="preserve">ESD Directory </w:t>
      </w:r>
      <w:hyperlink r:id="rId8" w:history="1">
        <w:r w:rsidR="00FC7E1C" w:rsidRPr="00886155">
          <w:rPr>
            <w:rStyle w:val="Hyperlink"/>
            <w:rFonts w:ascii="Arial" w:eastAsia="Calibri" w:hAnsi="Arial" w:cs="Arial"/>
            <w:i/>
            <w:sz w:val="20"/>
            <w:szCs w:val="20"/>
          </w:rPr>
          <w:t>https://ny.newnycontracts.com</w:t>
        </w:r>
      </w:hyperlink>
    </w:p>
    <w:p w14:paraId="3A301584" w14:textId="77777777" w:rsidR="00FC7E1C" w:rsidRDefault="00FC7E1C" w:rsidP="00A84328">
      <w:pPr>
        <w:pStyle w:val="ListParagraph"/>
        <w:numPr>
          <w:ilvl w:val="1"/>
          <w:numId w:val="3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 SDVOB vendor search:</w:t>
      </w:r>
      <w:r w:rsidRPr="00FC7E1C">
        <w:t xml:space="preserve"> </w:t>
      </w:r>
      <w:r>
        <w:t xml:space="preserve">Office of General Services </w:t>
      </w:r>
      <w:hyperlink r:id="rId9" w:history="1">
        <w:r w:rsidRPr="00886155">
          <w:rPr>
            <w:rStyle w:val="Hyperlink"/>
            <w:rFonts w:ascii="Arial" w:eastAsia="Calibri" w:hAnsi="Arial" w:cs="Arial"/>
            <w:sz w:val="20"/>
            <w:szCs w:val="20"/>
          </w:rPr>
          <w:t>https://online.ogs.ny.gov/SDVOB/search</w:t>
        </w:r>
      </w:hyperlink>
    </w:p>
    <w:p w14:paraId="61B64B2F" w14:textId="77777777" w:rsidR="00FC7E1C" w:rsidRPr="000C501D" w:rsidRDefault="00FC7E1C" w:rsidP="00FC7E1C">
      <w:pPr>
        <w:pStyle w:val="ListParagraph"/>
        <w:ind w:left="1440"/>
        <w:rPr>
          <w:rFonts w:ascii="Arial" w:eastAsia="Calibri" w:hAnsi="Arial" w:cs="Arial"/>
          <w:sz w:val="20"/>
          <w:szCs w:val="20"/>
        </w:rPr>
      </w:pPr>
    </w:p>
    <w:p w14:paraId="296F28EF" w14:textId="77777777" w:rsidR="003A4749" w:rsidRDefault="00693615" w:rsidP="00FF6531">
      <w:pPr>
        <w:pStyle w:val="5thLevelText"/>
        <w:ind w:left="720"/>
        <w:jc w:val="left"/>
        <w:rPr>
          <w:rFonts w:ascii="Arial" w:hAnsi="Arial" w:cs="Arial"/>
          <w:sz w:val="20"/>
          <w:szCs w:val="20"/>
        </w:rPr>
      </w:pPr>
      <w:r w:rsidRPr="00182B47">
        <w:rPr>
          <w:rFonts w:ascii="Arial" w:eastAsia="Calibri" w:hAnsi="Arial" w:cs="Arial"/>
          <w:sz w:val="20"/>
          <w:szCs w:val="20"/>
          <w:highlight w:val="yellow"/>
        </w:rPr>
        <w:t>Tailor the search to those firms with business descriptions or NAICS codes that are most appropriate for the work identified.</w:t>
      </w:r>
      <w:r w:rsidR="00FC7E1C" w:rsidRPr="00182B47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FC7E1C" w:rsidRPr="00182B47">
        <w:rPr>
          <w:rFonts w:ascii="Arial" w:hAnsi="Arial" w:cs="Arial"/>
          <w:sz w:val="20"/>
          <w:szCs w:val="20"/>
          <w:highlight w:val="yellow"/>
        </w:rPr>
        <w:t>NYSDOT has developed a Crosswalk chart that equates NYSDOT Work Codes/ Pay Items with NAICS/NIGP codes.</w:t>
      </w:r>
      <w:r w:rsidR="00FC7E1C" w:rsidRPr="00FC7E1C">
        <w:rPr>
          <w:rFonts w:ascii="Arial" w:hAnsi="Arial" w:cs="Arial"/>
          <w:sz w:val="20"/>
          <w:szCs w:val="20"/>
        </w:rPr>
        <w:t xml:space="preserve"> </w:t>
      </w:r>
    </w:p>
    <w:p w14:paraId="28823104" w14:textId="77777777" w:rsidR="00FF6531" w:rsidRDefault="00FF6531" w:rsidP="00FF6531">
      <w:pPr>
        <w:pStyle w:val="5thLevelText"/>
        <w:ind w:left="720"/>
        <w:jc w:val="left"/>
        <w:rPr>
          <w:rFonts w:ascii="Arial" w:hAnsi="Arial" w:cs="Arial"/>
          <w:sz w:val="20"/>
          <w:szCs w:val="20"/>
        </w:rPr>
      </w:pPr>
    </w:p>
    <w:p w14:paraId="259F3847" w14:textId="77C5DB5E" w:rsidR="00693615" w:rsidRDefault="00693615" w:rsidP="0069361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FC7E1C">
        <w:rPr>
          <w:rFonts w:ascii="Arial" w:eastAsia="Calibri" w:hAnsi="Arial" w:cs="Arial"/>
          <w:sz w:val="20"/>
          <w:szCs w:val="20"/>
        </w:rPr>
        <w:t>Notify those firms of your intent to bid via email and telephone, requesting written feedback on their interest in participation</w:t>
      </w:r>
      <w:r w:rsidR="0071164D" w:rsidRPr="00FC7E1C">
        <w:rPr>
          <w:rFonts w:ascii="Arial" w:eastAsia="Calibri" w:hAnsi="Arial" w:cs="Arial"/>
          <w:sz w:val="20"/>
          <w:szCs w:val="20"/>
        </w:rPr>
        <w:t xml:space="preserve"> as a vendor on your contract.</w:t>
      </w:r>
    </w:p>
    <w:p w14:paraId="7C7D9C35" w14:textId="77777777" w:rsidR="00E115F4" w:rsidRPr="00FC7E1C" w:rsidRDefault="00E115F4" w:rsidP="00E115F4">
      <w:pPr>
        <w:pStyle w:val="ListParagraph"/>
        <w:rPr>
          <w:rFonts w:ascii="Arial" w:eastAsia="Calibri" w:hAnsi="Arial" w:cs="Arial"/>
          <w:sz w:val="20"/>
          <w:szCs w:val="20"/>
        </w:rPr>
      </w:pPr>
    </w:p>
    <w:p w14:paraId="683EBCC1" w14:textId="77777777" w:rsidR="000D36C3" w:rsidRPr="000C501D" w:rsidRDefault="000D36C3" w:rsidP="00693615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Ensure adequate time is given to the D</w:t>
      </w:r>
      <w:r w:rsidR="00FF6531">
        <w:rPr>
          <w:rFonts w:ascii="Arial" w:eastAsia="Calibri" w:hAnsi="Arial" w:cs="Arial"/>
          <w:sz w:val="20"/>
          <w:szCs w:val="20"/>
        </w:rPr>
        <w:t>BE</w:t>
      </w:r>
      <w:r>
        <w:rPr>
          <w:rFonts w:ascii="Arial" w:eastAsia="Calibri" w:hAnsi="Arial" w:cs="Arial"/>
          <w:sz w:val="20"/>
          <w:szCs w:val="20"/>
        </w:rPr>
        <w:t>/M</w:t>
      </w:r>
      <w:r w:rsidR="00FF6531">
        <w:rPr>
          <w:rFonts w:ascii="Arial" w:eastAsia="Calibri" w:hAnsi="Arial" w:cs="Arial"/>
          <w:sz w:val="20"/>
          <w:szCs w:val="20"/>
        </w:rPr>
        <w:t>BE</w:t>
      </w:r>
      <w:r>
        <w:rPr>
          <w:rFonts w:ascii="Arial" w:eastAsia="Calibri" w:hAnsi="Arial" w:cs="Arial"/>
          <w:sz w:val="20"/>
          <w:szCs w:val="20"/>
        </w:rPr>
        <w:t>/WBE</w:t>
      </w:r>
      <w:r w:rsidR="00FF6531">
        <w:rPr>
          <w:rFonts w:ascii="Arial" w:eastAsia="Calibri" w:hAnsi="Arial" w:cs="Arial"/>
          <w:sz w:val="20"/>
          <w:szCs w:val="20"/>
        </w:rPr>
        <w:t>/SDVOB</w:t>
      </w:r>
      <w:r>
        <w:rPr>
          <w:rFonts w:ascii="Arial" w:eastAsia="Calibri" w:hAnsi="Arial" w:cs="Arial"/>
          <w:sz w:val="20"/>
          <w:szCs w:val="20"/>
        </w:rPr>
        <w:t xml:space="preserve"> Vendors to offer responses.</w:t>
      </w:r>
    </w:p>
    <w:p w14:paraId="49DC2476" w14:textId="77777777" w:rsidR="00A84328" w:rsidRPr="000C501D" w:rsidRDefault="00A84328" w:rsidP="00A84328">
      <w:pPr>
        <w:rPr>
          <w:rFonts w:ascii="Arial" w:eastAsia="Calibri" w:hAnsi="Arial" w:cs="Arial"/>
          <w:sz w:val="20"/>
          <w:szCs w:val="20"/>
        </w:rPr>
      </w:pPr>
    </w:p>
    <w:p w14:paraId="1D6F8F5F" w14:textId="77777777" w:rsidR="00FA657C" w:rsidRPr="000C501D" w:rsidRDefault="00FA657C" w:rsidP="00E504F6">
      <w:pPr>
        <w:rPr>
          <w:rFonts w:ascii="Arial" w:hAnsi="Arial"/>
          <w:sz w:val="20"/>
          <w:szCs w:val="20"/>
        </w:rPr>
      </w:pPr>
    </w:p>
    <w:p w14:paraId="5BDBF472" w14:textId="77777777" w:rsidR="00FF6531" w:rsidRPr="003A4749" w:rsidRDefault="00FF6531" w:rsidP="00FF653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bidi="ar-SA"/>
        </w:rPr>
      </w:pPr>
      <w:r w:rsidRPr="003A4749">
        <w:rPr>
          <w:rFonts w:ascii="Arial" w:eastAsia="Times New Roman" w:hAnsi="Arial" w:cs="Arial"/>
          <w:sz w:val="20"/>
          <w:szCs w:val="20"/>
          <w:lang w:bidi="ar-SA"/>
        </w:rPr>
        <w:t xml:space="preserve">For more information regarding NAICS, go to the NAICS web site at:  </w:t>
      </w:r>
      <w:hyperlink r:id="rId10" w:history="1">
        <w:r w:rsidRPr="003A4749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https://www.census.gov/cgi-bin/sssd/naics/naicsrch?chart=2012</w:t>
        </w:r>
      </w:hyperlink>
    </w:p>
    <w:p w14:paraId="203D9774" w14:textId="77777777" w:rsidR="00FF6531" w:rsidRDefault="00FF6531" w:rsidP="00FF6531">
      <w:pPr>
        <w:pStyle w:val="5thLevelText"/>
        <w:ind w:left="0"/>
        <w:jc w:val="left"/>
        <w:rPr>
          <w:rFonts w:ascii="Arial" w:hAnsi="Arial" w:cs="Arial"/>
          <w:sz w:val="20"/>
          <w:szCs w:val="20"/>
        </w:rPr>
      </w:pPr>
    </w:p>
    <w:p w14:paraId="75E7EF0A" w14:textId="77777777" w:rsidR="00FF6531" w:rsidRDefault="00FF6531" w:rsidP="00FF6531">
      <w:pPr>
        <w:pStyle w:val="5thLevelText"/>
        <w:ind w:left="0"/>
        <w:jc w:val="left"/>
        <w:rPr>
          <w:rFonts w:ascii="Arial" w:hAnsi="Arial" w:cs="Arial"/>
          <w:color w:val="0000FF"/>
          <w:sz w:val="20"/>
          <w:szCs w:val="20"/>
          <w:u w:val="single"/>
        </w:rPr>
      </w:pPr>
      <w:r w:rsidRPr="00FC7E1C">
        <w:rPr>
          <w:rFonts w:ascii="Arial" w:hAnsi="Arial" w:cs="Arial"/>
          <w:sz w:val="20"/>
          <w:szCs w:val="20"/>
        </w:rPr>
        <w:t xml:space="preserve"> The Crosswalk chart can be found at:  </w:t>
      </w:r>
      <w:hyperlink r:id="rId11" w:history="1">
        <w:r w:rsidRPr="00886155">
          <w:rPr>
            <w:rStyle w:val="Hyperlink"/>
            <w:rFonts w:ascii="Arial" w:hAnsi="Arial" w:cs="Arial"/>
            <w:sz w:val="20"/>
            <w:szCs w:val="20"/>
          </w:rPr>
          <w:t>https://www.dot.ny.gov/main/business-center/contractors/construction-division/forms-manuals-computer-applications-general-information/civil-rights</w:t>
        </w:r>
      </w:hyperlink>
    </w:p>
    <w:p w14:paraId="5DCA51C9" w14:textId="77777777" w:rsidR="00E504F6" w:rsidRPr="000C501D" w:rsidRDefault="00E504F6" w:rsidP="00FA657C">
      <w:pPr>
        <w:rPr>
          <w:rFonts w:ascii="Arial" w:eastAsia="Calibri" w:hAnsi="Arial" w:cs="Arial"/>
          <w:sz w:val="20"/>
          <w:szCs w:val="20"/>
        </w:rPr>
      </w:pPr>
    </w:p>
    <w:p w14:paraId="35B06F4D" w14:textId="77777777" w:rsidR="00FF6531" w:rsidRPr="000C501D" w:rsidRDefault="00FF6531" w:rsidP="00FF6531">
      <w:pPr>
        <w:rPr>
          <w:rFonts w:ascii="Arial" w:hAnsi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Should you be selected as the low bidder or pre-designated firm, a</w:t>
      </w:r>
      <w:r w:rsidRPr="000C501D">
        <w:rPr>
          <w:rFonts w:ascii="Arial" w:eastAsia="Calibri" w:hAnsi="Arial" w:cs="Arial"/>
          <w:sz w:val="20"/>
          <w:szCs w:val="20"/>
        </w:rPr>
        <w:t>ll documentation in attempts to meet the goal</w:t>
      </w:r>
      <w:r>
        <w:rPr>
          <w:rFonts w:ascii="Arial" w:eastAsia="Calibri" w:hAnsi="Arial" w:cs="Arial"/>
          <w:sz w:val="20"/>
          <w:szCs w:val="20"/>
        </w:rPr>
        <w:t>(s)</w:t>
      </w:r>
      <w:r w:rsidRPr="000C501D">
        <w:rPr>
          <w:rFonts w:ascii="Arial" w:eastAsia="Calibri" w:hAnsi="Arial" w:cs="Arial"/>
          <w:sz w:val="20"/>
          <w:szCs w:val="20"/>
        </w:rPr>
        <w:t xml:space="preserve"> will </w:t>
      </w:r>
      <w:r>
        <w:rPr>
          <w:rFonts w:ascii="Arial" w:eastAsia="Calibri" w:hAnsi="Arial" w:cs="Arial"/>
          <w:sz w:val="20"/>
          <w:szCs w:val="20"/>
        </w:rPr>
        <w:t xml:space="preserve">be </w:t>
      </w:r>
      <w:r w:rsidRPr="000C501D">
        <w:rPr>
          <w:rFonts w:ascii="Arial" w:eastAsia="Calibri" w:hAnsi="Arial" w:cs="Arial"/>
          <w:sz w:val="20"/>
          <w:szCs w:val="20"/>
        </w:rPr>
        <w:t xml:space="preserve">evaluated </w:t>
      </w:r>
      <w:r>
        <w:rPr>
          <w:rFonts w:ascii="Arial" w:eastAsia="Calibri" w:hAnsi="Arial" w:cs="Arial"/>
          <w:sz w:val="20"/>
          <w:szCs w:val="20"/>
        </w:rPr>
        <w:t>prior to the actual award of the contract to your firm.</w:t>
      </w:r>
    </w:p>
    <w:p w14:paraId="4CAAAA4C" w14:textId="77777777" w:rsidR="00FF6531" w:rsidRDefault="00FF6531" w:rsidP="00FF6531">
      <w:pPr>
        <w:rPr>
          <w:rFonts w:ascii="Arial" w:hAnsi="Arial"/>
          <w:b/>
          <w:sz w:val="22"/>
          <w:szCs w:val="22"/>
          <w:u w:val="single"/>
        </w:rPr>
      </w:pPr>
    </w:p>
    <w:p w14:paraId="4A5410D5" w14:textId="77777777" w:rsidR="00FF6531" w:rsidRDefault="00FF6531" w:rsidP="00F362A8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16169273" w14:textId="77777777" w:rsidR="00FF6531" w:rsidRDefault="00FF6531" w:rsidP="00F362A8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7AFCFBCC" w14:textId="77777777" w:rsidR="00FF6531" w:rsidRDefault="00FF6531" w:rsidP="00F362A8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5654BFE3" w14:textId="77777777" w:rsidR="00FF6531" w:rsidRDefault="00FF6531" w:rsidP="00F362A8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0C524E32" w14:textId="77777777" w:rsidR="00FF6531" w:rsidRDefault="00FF6531" w:rsidP="00F362A8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4C8E88C3" w14:textId="77777777" w:rsidR="00FF6531" w:rsidRDefault="00FF6531" w:rsidP="00F362A8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13218E50" w14:textId="77777777" w:rsidR="00FF6531" w:rsidRDefault="00FF6531" w:rsidP="00F362A8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095D5501" w14:textId="77777777" w:rsidR="00977418" w:rsidRDefault="00942797" w:rsidP="00F362A8">
      <w:pPr>
        <w:jc w:val="center"/>
        <w:rPr>
          <w:rFonts w:ascii="Arial" w:hAnsi="Arial"/>
          <w:sz w:val="20"/>
          <w:szCs w:val="20"/>
        </w:rPr>
      </w:pPr>
      <w:r w:rsidRPr="00F362A8">
        <w:rPr>
          <w:rFonts w:ascii="Arial" w:hAnsi="Arial"/>
          <w:b/>
          <w:sz w:val="22"/>
          <w:szCs w:val="22"/>
          <w:u w:val="single"/>
        </w:rPr>
        <w:t>Pre-</w:t>
      </w:r>
      <w:r w:rsidR="00144C29" w:rsidRPr="00F362A8">
        <w:rPr>
          <w:rFonts w:ascii="Arial" w:hAnsi="Arial"/>
          <w:b/>
          <w:sz w:val="22"/>
          <w:szCs w:val="22"/>
          <w:u w:val="single"/>
        </w:rPr>
        <w:t xml:space="preserve">Award </w:t>
      </w:r>
      <w:r w:rsidR="00144C29">
        <w:rPr>
          <w:rFonts w:ascii="Arial" w:hAnsi="Arial"/>
          <w:b/>
          <w:sz w:val="22"/>
          <w:szCs w:val="22"/>
          <w:u w:val="single"/>
        </w:rPr>
        <w:t>&amp;</w:t>
      </w:r>
      <w:r w:rsidR="00F362A8">
        <w:rPr>
          <w:rFonts w:ascii="Arial" w:hAnsi="Arial"/>
          <w:b/>
          <w:sz w:val="22"/>
          <w:szCs w:val="22"/>
          <w:u w:val="single"/>
        </w:rPr>
        <w:t xml:space="preserve"> Pre-Designation </w:t>
      </w:r>
      <w:r w:rsidR="004A1A32" w:rsidRPr="00F362A8">
        <w:rPr>
          <w:rFonts w:ascii="Arial" w:eastAsia="Calibri" w:hAnsi="Arial" w:cs="Arial"/>
          <w:b/>
          <w:sz w:val="22"/>
          <w:szCs w:val="22"/>
          <w:u w:val="single"/>
        </w:rPr>
        <w:t>G</w:t>
      </w:r>
      <w:r w:rsidR="007B1E7A" w:rsidRPr="00F362A8">
        <w:rPr>
          <w:rFonts w:ascii="Arial" w:eastAsia="Calibri" w:hAnsi="Arial" w:cs="Arial"/>
          <w:b/>
          <w:sz w:val="22"/>
          <w:szCs w:val="22"/>
          <w:u w:val="single"/>
        </w:rPr>
        <w:t xml:space="preserve">ood </w:t>
      </w:r>
      <w:r w:rsidR="004A1A32" w:rsidRPr="00F362A8">
        <w:rPr>
          <w:rFonts w:ascii="Arial" w:eastAsia="Calibri" w:hAnsi="Arial" w:cs="Arial"/>
          <w:b/>
          <w:sz w:val="22"/>
          <w:szCs w:val="22"/>
          <w:u w:val="single"/>
        </w:rPr>
        <w:t>F</w:t>
      </w:r>
      <w:r w:rsidR="007B1E7A" w:rsidRPr="00F362A8">
        <w:rPr>
          <w:rFonts w:ascii="Arial" w:eastAsia="Calibri" w:hAnsi="Arial" w:cs="Arial"/>
          <w:b/>
          <w:sz w:val="22"/>
          <w:szCs w:val="22"/>
          <w:u w:val="single"/>
        </w:rPr>
        <w:t xml:space="preserve">aith </w:t>
      </w:r>
      <w:r w:rsidR="004A1A32" w:rsidRPr="00F362A8">
        <w:rPr>
          <w:rFonts w:ascii="Arial" w:eastAsia="Calibri" w:hAnsi="Arial" w:cs="Arial"/>
          <w:b/>
          <w:sz w:val="22"/>
          <w:szCs w:val="22"/>
          <w:u w:val="single"/>
        </w:rPr>
        <w:t>E</w:t>
      </w:r>
      <w:r w:rsidR="007B1E7A" w:rsidRPr="00F362A8">
        <w:rPr>
          <w:rFonts w:ascii="Arial" w:eastAsia="Calibri" w:hAnsi="Arial" w:cs="Arial"/>
          <w:b/>
          <w:sz w:val="22"/>
          <w:szCs w:val="22"/>
          <w:u w:val="single"/>
        </w:rPr>
        <w:t>fforts by</w:t>
      </w:r>
      <w:r w:rsidR="00727AC3" w:rsidRPr="00F362A8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 w:rsidR="00906865" w:rsidRPr="00F362A8">
        <w:rPr>
          <w:rFonts w:ascii="Arial" w:eastAsia="Calibri" w:hAnsi="Arial" w:cs="Arial"/>
          <w:b/>
          <w:sz w:val="22"/>
          <w:szCs w:val="22"/>
          <w:u w:val="single"/>
        </w:rPr>
        <w:t>t</w:t>
      </w:r>
      <w:r w:rsidR="00727AC3" w:rsidRPr="00F362A8">
        <w:rPr>
          <w:rFonts w:ascii="Arial" w:hAnsi="Arial"/>
          <w:b/>
          <w:sz w:val="22"/>
          <w:szCs w:val="22"/>
          <w:u w:val="single"/>
        </w:rPr>
        <w:t>he Low Bidder</w:t>
      </w:r>
      <w:r w:rsidRPr="00F362A8">
        <w:rPr>
          <w:rFonts w:ascii="Arial" w:hAnsi="Arial"/>
          <w:sz w:val="22"/>
          <w:szCs w:val="22"/>
        </w:rPr>
        <w:t>:</w:t>
      </w:r>
    </w:p>
    <w:p w14:paraId="5C92B4D8" w14:textId="77777777" w:rsidR="00F362A8" w:rsidRDefault="00F362A8" w:rsidP="00F362A8">
      <w:pPr>
        <w:jc w:val="center"/>
        <w:rPr>
          <w:rFonts w:ascii="Arial" w:hAnsi="Arial"/>
          <w:sz w:val="20"/>
          <w:szCs w:val="20"/>
        </w:rPr>
      </w:pPr>
    </w:p>
    <w:p w14:paraId="0330A621" w14:textId="77777777" w:rsidR="00F362A8" w:rsidRDefault="00F362A8" w:rsidP="00FA657C">
      <w:pPr>
        <w:rPr>
          <w:rFonts w:ascii="Arial" w:hAnsi="Arial"/>
          <w:sz w:val="20"/>
          <w:szCs w:val="20"/>
        </w:rPr>
      </w:pPr>
    </w:p>
    <w:p w14:paraId="7C61E36D" w14:textId="77777777" w:rsidR="00B65E17" w:rsidRDefault="00B65E17" w:rsidP="00FA65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Once </w:t>
      </w:r>
      <w:r w:rsidR="00AE3B90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 xml:space="preserve">firm has been deemed low bidder or selected for pre-designation, commitments to </w:t>
      </w:r>
      <w:r w:rsidR="0049168A">
        <w:rPr>
          <w:rFonts w:ascii="Arial" w:hAnsi="Arial"/>
          <w:sz w:val="20"/>
          <w:szCs w:val="20"/>
        </w:rPr>
        <w:t>D</w:t>
      </w:r>
      <w:r w:rsidR="00FF6531">
        <w:rPr>
          <w:rFonts w:ascii="Arial" w:hAnsi="Arial"/>
          <w:sz w:val="20"/>
          <w:szCs w:val="20"/>
        </w:rPr>
        <w:t>BE</w:t>
      </w:r>
      <w:r w:rsidR="00AE3B90">
        <w:rPr>
          <w:rFonts w:ascii="Arial" w:hAnsi="Arial"/>
          <w:sz w:val="20"/>
          <w:szCs w:val="20"/>
        </w:rPr>
        <w:t>/</w:t>
      </w:r>
      <w:r w:rsidR="0049168A">
        <w:rPr>
          <w:rFonts w:ascii="Arial" w:hAnsi="Arial"/>
          <w:sz w:val="20"/>
          <w:szCs w:val="20"/>
        </w:rPr>
        <w:t>M</w:t>
      </w:r>
      <w:r w:rsidR="00FF6531">
        <w:rPr>
          <w:rFonts w:ascii="Arial" w:hAnsi="Arial"/>
          <w:sz w:val="20"/>
          <w:szCs w:val="20"/>
        </w:rPr>
        <w:t>BE</w:t>
      </w:r>
      <w:r w:rsidR="0049168A">
        <w:rPr>
          <w:rFonts w:ascii="Arial" w:hAnsi="Arial"/>
          <w:sz w:val="20"/>
          <w:szCs w:val="20"/>
        </w:rPr>
        <w:t>/WBE</w:t>
      </w:r>
      <w:r w:rsidR="00FF6531">
        <w:rPr>
          <w:rFonts w:ascii="Arial" w:hAnsi="Arial"/>
          <w:sz w:val="20"/>
          <w:szCs w:val="20"/>
        </w:rPr>
        <w:t>/SDVOB</w:t>
      </w:r>
      <w:r w:rsidR="0049168A">
        <w:rPr>
          <w:rFonts w:ascii="Arial" w:hAnsi="Arial"/>
          <w:sz w:val="20"/>
          <w:szCs w:val="20"/>
        </w:rPr>
        <w:t xml:space="preserve"> vendors</w:t>
      </w:r>
      <w:r>
        <w:rPr>
          <w:rFonts w:ascii="Arial" w:hAnsi="Arial"/>
          <w:sz w:val="20"/>
          <w:szCs w:val="20"/>
        </w:rPr>
        <w:t xml:space="preserve"> must be entered in </w:t>
      </w:r>
      <w:r w:rsidR="00144C29">
        <w:rPr>
          <w:rFonts w:ascii="Arial" w:hAnsi="Arial"/>
          <w:sz w:val="20"/>
          <w:szCs w:val="20"/>
        </w:rPr>
        <w:t xml:space="preserve">the Departments currently approved </w:t>
      </w:r>
      <w:r w:rsidR="0013411F">
        <w:rPr>
          <w:rFonts w:ascii="Arial" w:hAnsi="Arial"/>
          <w:sz w:val="20"/>
          <w:szCs w:val="20"/>
        </w:rPr>
        <w:t xml:space="preserve">civil rights reporting </w:t>
      </w:r>
      <w:r w:rsidR="00144C29">
        <w:rPr>
          <w:rFonts w:ascii="Arial" w:hAnsi="Arial"/>
          <w:sz w:val="20"/>
          <w:szCs w:val="20"/>
        </w:rPr>
        <w:t>software program (</w:t>
      </w:r>
      <w:r>
        <w:rPr>
          <w:rFonts w:ascii="Arial" w:hAnsi="Arial"/>
          <w:sz w:val="20"/>
          <w:szCs w:val="20"/>
        </w:rPr>
        <w:t>EBO</w:t>
      </w:r>
      <w:r w:rsidR="00144C29">
        <w:rPr>
          <w:rFonts w:ascii="Arial" w:hAnsi="Arial"/>
          <w:sz w:val="20"/>
          <w:szCs w:val="20"/>
        </w:rPr>
        <w:t xml:space="preserve">).  All </w:t>
      </w:r>
      <w:r>
        <w:rPr>
          <w:rFonts w:ascii="Arial" w:hAnsi="Arial"/>
          <w:sz w:val="20"/>
          <w:szCs w:val="20"/>
        </w:rPr>
        <w:t>vendors being utilized toward goal must acknowledge their intended participation in the EBO program.</w:t>
      </w:r>
    </w:p>
    <w:p w14:paraId="525EC994" w14:textId="77777777" w:rsidR="00B65E17" w:rsidRDefault="00B65E17" w:rsidP="00FA657C">
      <w:pPr>
        <w:rPr>
          <w:rFonts w:ascii="Arial" w:hAnsi="Arial"/>
          <w:sz w:val="20"/>
          <w:szCs w:val="20"/>
        </w:rPr>
      </w:pPr>
    </w:p>
    <w:p w14:paraId="196822C9" w14:textId="77777777" w:rsidR="00B65E17" w:rsidRDefault="00B65E17" w:rsidP="00FA65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144C29">
        <w:rPr>
          <w:rFonts w:ascii="Arial" w:hAnsi="Arial"/>
          <w:sz w:val="20"/>
          <w:szCs w:val="20"/>
        </w:rPr>
        <w:t>ny</w:t>
      </w:r>
      <w:r>
        <w:rPr>
          <w:rFonts w:ascii="Arial" w:hAnsi="Arial"/>
          <w:sz w:val="20"/>
          <w:szCs w:val="20"/>
        </w:rPr>
        <w:t xml:space="preserve"> shortfall in goal commitment requires supporting documentation </w:t>
      </w:r>
      <w:r w:rsidR="00D22E66">
        <w:rPr>
          <w:rFonts w:ascii="Arial" w:hAnsi="Arial"/>
          <w:sz w:val="20"/>
          <w:szCs w:val="20"/>
        </w:rPr>
        <w:t xml:space="preserve">to </w:t>
      </w:r>
      <w:r>
        <w:rPr>
          <w:rFonts w:ascii="Arial" w:hAnsi="Arial"/>
          <w:sz w:val="20"/>
          <w:szCs w:val="20"/>
        </w:rPr>
        <w:t>be provided to show all efforts taken.</w:t>
      </w:r>
      <w:r w:rsidR="00830842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The</w:t>
      </w:r>
      <w:r w:rsidR="00144C29"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z w:val="20"/>
          <w:szCs w:val="20"/>
        </w:rPr>
        <w:t xml:space="preserve"> efforts</w:t>
      </w:r>
      <w:r w:rsidR="00976DFE">
        <w:rPr>
          <w:rFonts w:ascii="Arial" w:hAnsi="Arial"/>
          <w:sz w:val="20"/>
          <w:szCs w:val="20"/>
        </w:rPr>
        <w:t xml:space="preserve"> should </w:t>
      </w:r>
      <w:r>
        <w:rPr>
          <w:rFonts w:ascii="Arial" w:hAnsi="Arial"/>
          <w:sz w:val="20"/>
          <w:szCs w:val="20"/>
        </w:rPr>
        <w:t>include</w:t>
      </w:r>
      <w:r w:rsidR="00976DFE">
        <w:rPr>
          <w:rFonts w:ascii="Arial" w:hAnsi="Arial"/>
          <w:sz w:val="20"/>
          <w:szCs w:val="20"/>
        </w:rPr>
        <w:t>, at a minimum</w:t>
      </w:r>
      <w:r>
        <w:rPr>
          <w:rFonts w:ascii="Arial" w:hAnsi="Arial"/>
          <w:sz w:val="20"/>
          <w:szCs w:val="20"/>
        </w:rPr>
        <w:t>:</w:t>
      </w:r>
    </w:p>
    <w:p w14:paraId="4B0B41B3" w14:textId="77777777" w:rsidR="00977418" w:rsidRPr="000C501D" w:rsidRDefault="00977418" w:rsidP="00FA657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7645"/>
      </w:tblGrid>
      <w:tr w:rsidR="00826DD1" w:rsidRPr="00751AB6" w14:paraId="75FCFC6E" w14:textId="77777777" w:rsidTr="00826DD1">
        <w:tc>
          <w:tcPr>
            <w:tcW w:w="895" w:type="dxa"/>
          </w:tcPr>
          <w:p w14:paraId="09E45137" w14:textId="77777777" w:rsidR="00826DD1" w:rsidRPr="00751AB6" w:rsidRDefault="00826DD1" w:rsidP="00826D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1AB6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  <w:p w14:paraId="170C4EA6" w14:textId="77777777" w:rsidR="00826DD1" w:rsidRPr="00751AB6" w:rsidRDefault="00826DD1" w:rsidP="00826D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1AB6">
              <w:rPr>
                <w:rFonts w:ascii="Arial" w:eastAsia="Calibri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810" w:type="dxa"/>
          </w:tcPr>
          <w:p w14:paraId="4E31FB77" w14:textId="77777777" w:rsidR="00826DD1" w:rsidRPr="00751AB6" w:rsidRDefault="00826DD1" w:rsidP="00826D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1AB6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  <w:p w14:paraId="6E88D0CE" w14:textId="77777777" w:rsidR="00826DD1" w:rsidRPr="00751AB6" w:rsidRDefault="00826DD1" w:rsidP="00826D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1AB6">
              <w:rPr>
                <w:rFonts w:ascii="Arial" w:eastAsia="Calibri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7645" w:type="dxa"/>
          </w:tcPr>
          <w:p w14:paraId="11BF611B" w14:textId="77777777" w:rsidR="00826DD1" w:rsidRPr="00751AB6" w:rsidRDefault="00826DD1" w:rsidP="00FA65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1AB6">
              <w:rPr>
                <w:rFonts w:ascii="Arial" w:eastAsia="Calibri" w:hAnsi="Arial" w:cs="Arial"/>
                <w:b/>
                <w:sz w:val="20"/>
                <w:szCs w:val="20"/>
              </w:rPr>
              <w:t>Evidence of GFE</w:t>
            </w:r>
          </w:p>
        </w:tc>
      </w:tr>
      <w:tr w:rsidR="00826DD1" w:rsidRPr="00751AB6" w14:paraId="50415408" w14:textId="77777777" w:rsidTr="00826DD1">
        <w:tc>
          <w:tcPr>
            <w:tcW w:w="895" w:type="dxa"/>
          </w:tcPr>
          <w:p w14:paraId="056D0DF0" w14:textId="77777777" w:rsidR="00826DD1" w:rsidRPr="00751AB6" w:rsidRDefault="00826DD1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BC5AF9" w14:textId="77777777" w:rsidR="00826DD1" w:rsidRPr="00751AB6" w:rsidRDefault="00826DD1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2BFAD16F" w14:textId="77777777" w:rsidR="00826DD1" w:rsidRPr="00751AB6" w:rsidRDefault="00826DD1" w:rsidP="00976DF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51AB6">
              <w:rPr>
                <w:rFonts w:ascii="Arial" w:eastAsia="Calibri" w:hAnsi="Arial" w:cs="Arial"/>
                <w:sz w:val="20"/>
                <w:szCs w:val="20"/>
              </w:rPr>
              <w:t xml:space="preserve">AAP-10 Solicitation log: This log should list only those firms </w:t>
            </w:r>
            <w:r w:rsidR="00977418">
              <w:rPr>
                <w:rFonts w:ascii="Arial" w:eastAsia="Calibri" w:hAnsi="Arial" w:cs="Arial"/>
                <w:sz w:val="20"/>
                <w:szCs w:val="20"/>
              </w:rPr>
              <w:t>that were directly solicited.</w:t>
            </w:r>
            <w:r w:rsidRPr="00751A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04F6">
              <w:rPr>
                <w:rFonts w:ascii="Arial" w:hAnsi="Arial"/>
                <w:b/>
                <w:sz w:val="20"/>
              </w:rPr>
              <w:t xml:space="preserve">(do not list mass </w:t>
            </w:r>
            <w:r w:rsidR="005B732B" w:rsidRPr="00E504F6">
              <w:rPr>
                <w:rFonts w:ascii="Arial" w:eastAsia="Calibri" w:hAnsi="Arial" w:cs="Arial"/>
                <w:b/>
                <w:sz w:val="20"/>
                <w:szCs w:val="20"/>
              </w:rPr>
              <w:t>emailing’s</w:t>
            </w:r>
            <w:r w:rsidRPr="00E504F6">
              <w:rPr>
                <w:rFonts w:ascii="Arial" w:hAnsi="Arial"/>
                <w:b/>
                <w:sz w:val="20"/>
              </w:rPr>
              <w:t xml:space="preserve"> performed).</w:t>
            </w:r>
            <w:r w:rsidRPr="00751AB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bookmarkStart w:id="1" w:name="_Hlk26777868"/>
            <w:r w:rsidR="00B65E17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751AB6">
              <w:rPr>
                <w:rFonts w:ascii="Arial" w:eastAsia="Calibri" w:hAnsi="Arial" w:cs="Arial"/>
                <w:sz w:val="20"/>
                <w:szCs w:val="20"/>
              </w:rPr>
              <w:t xml:space="preserve">utreach should </w:t>
            </w:r>
            <w:r w:rsidR="00977418">
              <w:rPr>
                <w:rFonts w:ascii="Arial" w:eastAsia="Calibri" w:hAnsi="Arial" w:cs="Arial"/>
                <w:sz w:val="20"/>
                <w:szCs w:val="20"/>
              </w:rPr>
              <w:t xml:space="preserve">be </w:t>
            </w:r>
            <w:r w:rsidRPr="00751AB6">
              <w:rPr>
                <w:rFonts w:ascii="Arial" w:eastAsia="Calibri" w:hAnsi="Arial" w:cs="Arial"/>
                <w:sz w:val="20"/>
                <w:szCs w:val="20"/>
              </w:rPr>
              <w:t>narrowly focuse</w:t>
            </w:r>
            <w:r w:rsidR="00977418">
              <w:rPr>
                <w:rFonts w:ascii="Arial" w:eastAsia="Calibri" w:hAnsi="Arial" w:cs="Arial"/>
                <w:sz w:val="20"/>
                <w:szCs w:val="20"/>
              </w:rPr>
              <w:t>d, targeted and result oriented.</w:t>
            </w:r>
            <w:bookmarkEnd w:id="1"/>
          </w:p>
        </w:tc>
      </w:tr>
      <w:tr w:rsidR="00826DD1" w:rsidRPr="00751AB6" w14:paraId="5420B1E0" w14:textId="77777777" w:rsidTr="00826DD1">
        <w:tc>
          <w:tcPr>
            <w:tcW w:w="895" w:type="dxa"/>
          </w:tcPr>
          <w:p w14:paraId="7541A666" w14:textId="77777777" w:rsidR="00826DD1" w:rsidRPr="00751AB6" w:rsidRDefault="00826DD1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997BAE" w14:textId="77777777" w:rsidR="00826DD1" w:rsidRPr="00751AB6" w:rsidRDefault="00826DD1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052AC052" w14:textId="77777777" w:rsidR="00B65E17" w:rsidRPr="00751AB6" w:rsidRDefault="00B65E17" w:rsidP="00976DF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65E17">
              <w:rPr>
                <w:rFonts w:ascii="Arial" w:eastAsia="Calibri" w:hAnsi="Arial" w:cs="Arial"/>
                <w:sz w:val="20"/>
                <w:szCs w:val="20"/>
              </w:rPr>
              <w:t xml:space="preserve">Copies of emails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and/or faxes </w:t>
            </w:r>
            <w:r w:rsidRPr="00B65E17">
              <w:rPr>
                <w:rFonts w:ascii="Arial" w:eastAsia="Calibri" w:hAnsi="Arial" w:cs="Arial"/>
                <w:sz w:val="20"/>
                <w:szCs w:val="20"/>
              </w:rPr>
              <w:t xml:space="preserve">that show “direct” scope of what you solicited the subcontractor/supplier, fabricator, etc. to do or provide </w:t>
            </w:r>
            <w:r w:rsidRPr="00B65E17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B65E17">
              <w:rPr>
                <w:rFonts w:ascii="Arial" w:eastAsia="Calibri" w:hAnsi="Arial" w:cs="Arial"/>
                <w:sz w:val="20"/>
                <w:szCs w:val="20"/>
              </w:rPr>
              <w:t xml:space="preserve"> their responses</w:t>
            </w:r>
            <w:r w:rsidR="0006469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064691" w:rsidRPr="00751AB6" w14:paraId="36354F21" w14:textId="77777777" w:rsidTr="00826DD1">
        <w:tc>
          <w:tcPr>
            <w:tcW w:w="895" w:type="dxa"/>
          </w:tcPr>
          <w:p w14:paraId="0554BF09" w14:textId="77777777" w:rsidR="00064691" w:rsidRPr="00751AB6" w:rsidRDefault="00064691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317BE3" w14:textId="77777777" w:rsidR="00064691" w:rsidRPr="00751AB6" w:rsidRDefault="00064691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486A6F1C" w14:textId="77777777" w:rsidR="00064691" w:rsidRPr="00B65E17" w:rsidRDefault="00064691" w:rsidP="00B65E1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776EF">
              <w:rPr>
                <w:rFonts w:ascii="Arial" w:eastAsia="Calibri" w:hAnsi="Arial" w:cs="Arial"/>
                <w:sz w:val="20"/>
                <w:szCs w:val="20"/>
              </w:rPr>
              <w:t xml:space="preserve">Copies of documentation showing negotiations took place between low bidder and prospective subcontractor or other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vendors </w:t>
            </w:r>
            <w:r w:rsidRPr="008776EF">
              <w:rPr>
                <w:rFonts w:ascii="Arial" w:eastAsia="Calibri" w:hAnsi="Arial" w:cs="Arial"/>
                <w:sz w:val="20"/>
                <w:szCs w:val="20"/>
              </w:rPr>
              <w:t>(supplier, manufacturer, fabricator, etc.)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8776EF" w:rsidRPr="00751AB6" w14:paraId="07CEBAEC" w14:textId="77777777" w:rsidTr="00826DD1">
        <w:tc>
          <w:tcPr>
            <w:tcW w:w="895" w:type="dxa"/>
          </w:tcPr>
          <w:p w14:paraId="3629632E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CEAC68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4FB903AC" w14:textId="77777777" w:rsidR="008776EF" w:rsidRPr="00751AB6" w:rsidRDefault="008776EF" w:rsidP="009855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Copies of ads placed for solicitation</w:t>
            </w:r>
          </w:p>
        </w:tc>
      </w:tr>
      <w:tr w:rsidR="008776EF" w:rsidRPr="00751AB6" w14:paraId="45E2C02C" w14:textId="77777777" w:rsidTr="00826DD1">
        <w:tc>
          <w:tcPr>
            <w:tcW w:w="895" w:type="dxa"/>
          </w:tcPr>
          <w:p w14:paraId="20E5B69E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9B9ECC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1827B1F5" w14:textId="77777777" w:rsidR="008776EF" w:rsidRDefault="008776EF" w:rsidP="009855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Evidence that off-site </w:t>
            </w:r>
            <w:r w:rsidR="00E9357D">
              <w:rPr>
                <w:rFonts w:ascii="Arial" w:eastAsia="Calibri" w:hAnsi="Arial" w:cs="Arial"/>
                <w:sz w:val="20"/>
                <w:szCs w:val="20"/>
              </w:rPr>
              <w:t>vendors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services were entertained (e.g., material suppliers, trucking, fabricator, manufacturer, etc.)</w:t>
            </w:r>
            <w:r w:rsidR="00976D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8776EF" w:rsidRPr="00751AB6" w14:paraId="1C002DEC" w14:textId="77777777" w:rsidTr="00826DD1">
        <w:tc>
          <w:tcPr>
            <w:tcW w:w="895" w:type="dxa"/>
          </w:tcPr>
          <w:p w14:paraId="26F32C5B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F966C4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4FE84086" w14:textId="77777777" w:rsidR="008776EF" w:rsidRDefault="008776EF" w:rsidP="009855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Copies of quotes received when a specific scope of work was given to a non-certified </w:t>
            </w:r>
            <w:r w:rsidR="0049168A">
              <w:rPr>
                <w:rFonts w:ascii="Arial" w:eastAsia="Calibri" w:hAnsi="Arial" w:cs="Arial"/>
                <w:sz w:val="20"/>
                <w:szCs w:val="20"/>
              </w:rPr>
              <w:t>vendor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versus a certified </w:t>
            </w:r>
            <w:r w:rsidR="0049168A">
              <w:rPr>
                <w:rFonts w:ascii="Arial" w:eastAsia="Calibri" w:hAnsi="Arial" w:cs="Arial"/>
                <w:sz w:val="20"/>
                <w:szCs w:val="20"/>
              </w:rPr>
              <w:t xml:space="preserve">vendor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(when certified </w:t>
            </w:r>
            <w:r w:rsidR="0049168A">
              <w:rPr>
                <w:rFonts w:ascii="Arial" w:eastAsia="Calibri" w:hAnsi="Arial" w:cs="Arial"/>
                <w:sz w:val="20"/>
                <w:szCs w:val="20"/>
              </w:rPr>
              <w:t>vendor</w:t>
            </w:r>
            <w:r>
              <w:rPr>
                <w:rFonts w:ascii="Arial" w:eastAsia="Calibri" w:hAnsi="Arial" w:cs="Arial"/>
                <w:sz w:val="20"/>
                <w:szCs w:val="20"/>
              </w:rPr>
              <w:t>’s quote was deemed unreasonable or excessive)</w:t>
            </w:r>
            <w:r w:rsidR="00976D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8776EF" w:rsidRPr="00751AB6" w14:paraId="654B1153" w14:textId="77777777" w:rsidTr="00826DD1">
        <w:tc>
          <w:tcPr>
            <w:tcW w:w="895" w:type="dxa"/>
          </w:tcPr>
          <w:p w14:paraId="4DEE7706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58F52C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7FC28A92" w14:textId="77777777" w:rsidR="008776EF" w:rsidRDefault="008776EF" w:rsidP="009855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Detailed explanation for any scope of work deemed “self-performing” without intent to split the work (when there are DBE or M</w:t>
            </w:r>
            <w:r w:rsidR="00FF6531">
              <w:rPr>
                <w:rFonts w:ascii="Arial" w:eastAsia="Calibri" w:hAnsi="Arial" w:cs="Arial"/>
                <w:sz w:val="20"/>
                <w:szCs w:val="20"/>
              </w:rPr>
              <w:t>BE</w:t>
            </w:r>
            <w:r>
              <w:rPr>
                <w:rFonts w:ascii="Arial" w:eastAsia="Calibri" w:hAnsi="Arial" w:cs="Arial"/>
                <w:sz w:val="20"/>
                <w:szCs w:val="20"/>
              </w:rPr>
              <w:t>/WBE</w:t>
            </w:r>
            <w:r w:rsidR="00FF6531">
              <w:rPr>
                <w:rFonts w:ascii="Arial" w:eastAsia="Calibri" w:hAnsi="Arial" w:cs="Arial"/>
                <w:sz w:val="20"/>
                <w:szCs w:val="20"/>
              </w:rPr>
              <w:t xml:space="preserve"> or SDVOB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availability and goal has not been met)</w:t>
            </w:r>
          </w:p>
        </w:tc>
      </w:tr>
      <w:tr w:rsidR="00976DFE" w:rsidRPr="00751AB6" w14:paraId="390A5FE4" w14:textId="77777777" w:rsidTr="00826DD1">
        <w:tc>
          <w:tcPr>
            <w:tcW w:w="895" w:type="dxa"/>
          </w:tcPr>
          <w:p w14:paraId="0BE49AF6" w14:textId="77777777" w:rsidR="00976DFE" w:rsidRPr="00751AB6" w:rsidRDefault="00976DFE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1981DE" w14:textId="77777777" w:rsidR="00976DFE" w:rsidRPr="00751AB6" w:rsidRDefault="00976DFE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59980BD2" w14:textId="77777777" w:rsidR="00976DFE" w:rsidRDefault="00976DFE" w:rsidP="009855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Copies of registry searches that resulted in no certified firms for a specific scope of work.</w:t>
            </w:r>
          </w:p>
        </w:tc>
      </w:tr>
      <w:tr w:rsidR="008776EF" w:rsidRPr="00751AB6" w14:paraId="3ECA8D55" w14:textId="77777777" w:rsidTr="00826DD1">
        <w:tc>
          <w:tcPr>
            <w:tcW w:w="895" w:type="dxa"/>
          </w:tcPr>
          <w:p w14:paraId="5E0D772E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A2193F" w14:textId="77777777" w:rsidR="008776EF" w:rsidRPr="00751AB6" w:rsidRDefault="008776EF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76AF5130" w14:textId="77777777" w:rsidR="008776EF" w:rsidRDefault="008776EF" w:rsidP="009855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Detailed rational as to any scope of work in the project that is considered not to be a subcontract item</w:t>
            </w:r>
            <w:r w:rsidR="00976D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8D3D1C" w:rsidRPr="00751AB6" w14:paraId="74F73817" w14:textId="77777777" w:rsidTr="00826DD1">
        <w:tc>
          <w:tcPr>
            <w:tcW w:w="895" w:type="dxa"/>
          </w:tcPr>
          <w:p w14:paraId="7B9CC91F" w14:textId="77777777" w:rsidR="008D3D1C" w:rsidRPr="00751AB6" w:rsidRDefault="008D3D1C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DCA2E5" w14:textId="77777777" w:rsidR="008D3D1C" w:rsidRPr="00751AB6" w:rsidRDefault="008D3D1C" w:rsidP="00FA65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5362161D" w14:textId="77777777" w:rsidR="008D3D1C" w:rsidRDefault="001952C9" w:rsidP="009855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8D3D1C">
              <w:rPr>
                <w:rFonts w:ascii="Arial" w:eastAsia="Calibri" w:hAnsi="Arial" w:cs="Arial"/>
                <w:sz w:val="20"/>
                <w:szCs w:val="20"/>
              </w:rPr>
              <w:t xml:space="preserve">upporting documentation of </w:t>
            </w:r>
            <w:r w:rsidR="00232772">
              <w:rPr>
                <w:rFonts w:ascii="Arial" w:eastAsia="Calibri" w:hAnsi="Arial" w:cs="Arial"/>
                <w:sz w:val="20"/>
                <w:szCs w:val="20"/>
              </w:rPr>
              <w:t xml:space="preserve">any/all additional </w:t>
            </w:r>
            <w:r w:rsidR="008D3D1C">
              <w:rPr>
                <w:rFonts w:ascii="Arial" w:eastAsia="Calibri" w:hAnsi="Arial" w:cs="Arial"/>
                <w:sz w:val="20"/>
                <w:szCs w:val="20"/>
              </w:rPr>
              <w:t>efforts performed prior to letting or pre-designation date.</w:t>
            </w:r>
          </w:p>
        </w:tc>
      </w:tr>
    </w:tbl>
    <w:p w14:paraId="4B2FB73A" w14:textId="77777777" w:rsidR="00826DD1" w:rsidRPr="00751AB6" w:rsidRDefault="00826DD1" w:rsidP="00FA657C">
      <w:pPr>
        <w:rPr>
          <w:rFonts w:ascii="Arial" w:eastAsia="Calibri" w:hAnsi="Arial" w:cs="Arial"/>
          <w:sz w:val="20"/>
          <w:szCs w:val="20"/>
        </w:rPr>
      </w:pPr>
    </w:p>
    <w:p w14:paraId="00950311" w14:textId="77777777" w:rsidR="00826DD1" w:rsidRPr="00751AB6" w:rsidRDefault="00826DD1" w:rsidP="00FA657C">
      <w:pPr>
        <w:rPr>
          <w:rFonts w:ascii="Arial" w:eastAsia="Calibri" w:hAnsi="Arial" w:cs="Arial"/>
          <w:sz w:val="20"/>
          <w:szCs w:val="20"/>
        </w:rPr>
      </w:pPr>
    </w:p>
    <w:p w14:paraId="6FA3523A" w14:textId="77777777" w:rsidR="003B1906" w:rsidRPr="00751AB6" w:rsidRDefault="003B1906" w:rsidP="003B1906">
      <w:pPr>
        <w:rPr>
          <w:rFonts w:ascii="Arial" w:eastAsia="Calibri" w:hAnsi="Arial" w:cs="Arial"/>
          <w:sz w:val="20"/>
          <w:szCs w:val="20"/>
        </w:rPr>
      </w:pPr>
    </w:p>
    <w:p w14:paraId="67967DF8" w14:textId="77777777" w:rsidR="003B1906" w:rsidRDefault="00A301B9" w:rsidP="008418A4">
      <w:pPr>
        <w:jc w:val="center"/>
        <w:rPr>
          <w:rFonts w:ascii="Arial" w:eastAsia="Calibri" w:hAnsi="Arial" w:cs="Arial"/>
          <w:sz w:val="22"/>
          <w:szCs w:val="22"/>
        </w:rPr>
      </w:pPr>
      <w:r w:rsidRPr="008418A4">
        <w:rPr>
          <w:rFonts w:ascii="Arial" w:eastAsia="Calibri" w:hAnsi="Arial" w:cs="Arial"/>
          <w:b/>
          <w:sz w:val="22"/>
          <w:szCs w:val="22"/>
          <w:u w:val="single"/>
        </w:rPr>
        <w:t>Exa</w:t>
      </w:r>
      <w:r w:rsidR="003B1906" w:rsidRPr="008418A4">
        <w:rPr>
          <w:rFonts w:ascii="Arial" w:eastAsia="Calibri" w:hAnsi="Arial" w:cs="Arial"/>
          <w:b/>
          <w:sz w:val="22"/>
          <w:szCs w:val="22"/>
          <w:u w:val="single"/>
        </w:rPr>
        <w:t>mple</w:t>
      </w:r>
      <w:r w:rsidRPr="008418A4">
        <w:rPr>
          <w:rFonts w:ascii="Arial" w:eastAsia="Calibri" w:hAnsi="Arial" w:cs="Arial"/>
          <w:b/>
          <w:sz w:val="22"/>
          <w:szCs w:val="22"/>
          <w:u w:val="single"/>
        </w:rPr>
        <w:t>s</w:t>
      </w:r>
      <w:r w:rsidR="003B1906" w:rsidRPr="008418A4">
        <w:rPr>
          <w:rFonts w:ascii="Arial" w:eastAsia="Calibri" w:hAnsi="Arial" w:cs="Arial"/>
          <w:b/>
          <w:sz w:val="22"/>
          <w:szCs w:val="22"/>
          <w:u w:val="single"/>
        </w:rPr>
        <w:t xml:space="preserve"> of </w:t>
      </w:r>
      <w:r w:rsidR="0026341A" w:rsidRPr="008418A4">
        <w:rPr>
          <w:rFonts w:ascii="Arial" w:eastAsia="Calibri" w:hAnsi="Arial" w:cs="Arial"/>
          <w:b/>
          <w:sz w:val="22"/>
          <w:szCs w:val="22"/>
          <w:u w:val="single"/>
        </w:rPr>
        <w:t>i</w:t>
      </w:r>
      <w:r w:rsidR="003B1906" w:rsidRPr="008418A4">
        <w:rPr>
          <w:rFonts w:ascii="Arial" w:eastAsia="Calibri" w:hAnsi="Arial" w:cs="Arial"/>
          <w:b/>
          <w:sz w:val="22"/>
          <w:szCs w:val="22"/>
          <w:u w:val="single"/>
        </w:rPr>
        <w:t>nsufficient/</w:t>
      </w:r>
      <w:r w:rsidR="0026341A" w:rsidRPr="008418A4">
        <w:rPr>
          <w:rFonts w:ascii="Arial" w:eastAsia="Calibri" w:hAnsi="Arial" w:cs="Arial"/>
          <w:b/>
          <w:sz w:val="22"/>
          <w:szCs w:val="22"/>
          <w:u w:val="single"/>
        </w:rPr>
        <w:t>unacceptable d</w:t>
      </w:r>
      <w:r w:rsidR="003B1906" w:rsidRPr="008418A4">
        <w:rPr>
          <w:rFonts w:ascii="Arial" w:eastAsia="Calibri" w:hAnsi="Arial" w:cs="Arial"/>
          <w:b/>
          <w:sz w:val="22"/>
          <w:szCs w:val="22"/>
          <w:u w:val="single"/>
        </w:rPr>
        <w:t>ocumentation</w:t>
      </w:r>
      <w:r w:rsidR="0026341A" w:rsidRPr="008418A4">
        <w:rPr>
          <w:rFonts w:ascii="Arial" w:eastAsia="Calibri" w:hAnsi="Arial" w:cs="Arial"/>
          <w:b/>
          <w:sz w:val="22"/>
          <w:szCs w:val="22"/>
          <w:u w:val="single"/>
        </w:rPr>
        <w:t xml:space="preserve"> includes</w:t>
      </w:r>
      <w:r w:rsidR="003B1906" w:rsidRPr="008418A4">
        <w:rPr>
          <w:rFonts w:ascii="Arial" w:eastAsia="Calibri" w:hAnsi="Arial" w:cs="Arial"/>
          <w:sz w:val="22"/>
          <w:szCs w:val="22"/>
        </w:rPr>
        <w:t>:</w:t>
      </w:r>
    </w:p>
    <w:p w14:paraId="136B8510" w14:textId="77777777" w:rsidR="00AC2C90" w:rsidRPr="008418A4" w:rsidRDefault="00AC2C90" w:rsidP="008418A4">
      <w:pPr>
        <w:jc w:val="center"/>
        <w:rPr>
          <w:rFonts w:ascii="Arial" w:eastAsia="Calibri" w:hAnsi="Arial" w:cs="Arial"/>
          <w:sz w:val="22"/>
          <w:szCs w:val="22"/>
        </w:rPr>
      </w:pPr>
    </w:p>
    <w:p w14:paraId="1EDC74DB" w14:textId="77777777" w:rsidR="003B1906" w:rsidRPr="00751AB6" w:rsidRDefault="003B1906" w:rsidP="003B1906">
      <w:pPr>
        <w:rPr>
          <w:rFonts w:ascii="Arial" w:eastAsia="Calibri" w:hAnsi="Arial" w:cs="Arial"/>
          <w:sz w:val="20"/>
          <w:szCs w:val="20"/>
        </w:rPr>
      </w:pPr>
    </w:p>
    <w:p w14:paraId="0A7BB853" w14:textId="77777777" w:rsidR="003B1906" w:rsidRPr="00751AB6" w:rsidRDefault="00992C8A" w:rsidP="003B1906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0"/>
          <w:szCs w:val="20"/>
        </w:rPr>
      </w:pPr>
      <w:r w:rsidRPr="00751AB6">
        <w:rPr>
          <w:rFonts w:ascii="Arial" w:eastAsia="Calibri" w:hAnsi="Arial" w:cs="Arial"/>
          <w:sz w:val="20"/>
          <w:szCs w:val="20"/>
        </w:rPr>
        <w:t>“</w:t>
      </w:r>
      <w:r w:rsidR="007B1E7A">
        <w:rPr>
          <w:rFonts w:ascii="Arial" w:eastAsia="Calibri" w:hAnsi="Arial" w:cs="Arial"/>
          <w:sz w:val="20"/>
          <w:szCs w:val="20"/>
        </w:rPr>
        <w:t>I</w:t>
      </w:r>
      <w:r w:rsidR="003B1906" w:rsidRPr="00751AB6">
        <w:rPr>
          <w:rFonts w:ascii="Arial" w:eastAsia="Calibri" w:hAnsi="Arial" w:cs="Arial"/>
          <w:sz w:val="20"/>
          <w:szCs w:val="20"/>
        </w:rPr>
        <w:t>n-house</w:t>
      </w:r>
      <w:r w:rsidRPr="00751AB6">
        <w:rPr>
          <w:rFonts w:ascii="Arial" w:eastAsia="Calibri" w:hAnsi="Arial" w:cs="Arial"/>
          <w:sz w:val="20"/>
          <w:szCs w:val="20"/>
        </w:rPr>
        <w:t>”</w:t>
      </w:r>
      <w:r w:rsidR="003B1906" w:rsidRPr="00751AB6">
        <w:rPr>
          <w:rFonts w:ascii="Arial" w:eastAsia="Calibri" w:hAnsi="Arial" w:cs="Arial"/>
          <w:sz w:val="20"/>
          <w:szCs w:val="20"/>
        </w:rPr>
        <w:t xml:space="preserve"> generated </w:t>
      </w:r>
      <w:r w:rsidR="00A301B9" w:rsidRPr="00751AB6">
        <w:rPr>
          <w:rFonts w:ascii="Arial" w:eastAsia="Calibri" w:hAnsi="Arial" w:cs="Arial"/>
          <w:sz w:val="20"/>
          <w:szCs w:val="20"/>
        </w:rPr>
        <w:t>lists</w:t>
      </w:r>
      <w:r w:rsidR="007B1E7A">
        <w:rPr>
          <w:rFonts w:ascii="Arial" w:eastAsia="Calibri" w:hAnsi="Arial" w:cs="Arial"/>
          <w:sz w:val="20"/>
          <w:szCs w:val="20"/>
        </w:rPr>
        <w:t xml:space="preserve"> that do not include </w:t>
      </w:r>
      <w:r w:rsidR="008418A4">
        <w:rPr>
          <w:rFonts w:ascii="Arial" w:eastAsia="Calibri" w:hAnsi="Arial" w:cs="Arial"/>
          <w:sz w:val="20"/>
          <w:szCs w:val="20"/>
        </w:rPr>
        <w:t>DBE or M</w:t>
      </w:r>
      <w:r w:rsidR="00FC7E1C">
        <w:rPr>
          <w:rFonts w:ascii="Arial" w:eastAsia="Calibri" w:hAnsi="Arial" w:cs="Arial"/>
          <w:sz w:val="20"/>
          <w:szCs w:val="20"/>
        </w:rPr>
        <w:t>BE</w:t>
      </w:r>
      <w:r w:rsidR="008418A4">
        <w:rPr>
          <w:rFonts w:ascii="Arial" w:eastAsia="Calibri" w:hAnsi="Arial" w:cs="Arial"/>
          <w:sz w:val="20"/>
          <w:szCs w:val="20"/>
        </w:rPr>
        <w:t>/WBE</w:t>
      </w:r>
      <w:r w:rsidR="00FC7E1C">
        <w:rPr>
          <w:rFonts w:ascii="Arial" w:eastAsia="Calibri" w:hAnsi="Arial" w:cs="Arial"/>
          <w:sz w:val="20"/>
          <w:szCs w:val="20"/>
        </w:rPr>
        <w:t>/SDVOB</w:t>
      </w:r>
      <w:r w:rsidR="008418A4">
        <w:rPr>
          <w:rFonts w:ascii="Arial" w:eastAsia="Calibri" w:hAnsi="Arial" w:cs="Arial"/>
          <w:sz w:val="20"/>
          <w:szCs w:val="20"/>
        </w:rPr>
        <w:t xml:space="preserve"> targeted </w:t>
      </w:r>
      <w:r w:rsidR="005D0761">
        <w:rPr>
          <w:rFonts w:ascii="Arial" w:eastAsia="Calibri" w:hAnsi="Arial" w:cs="Arial"/>
          <w:sz w:val="20"/>
          <w:szCs w:val="20"/>
        </w:rPr>
        <w:t>vendors</w:t>
      </w:r>
      <w:r w:rsidR="007B1E7A">
        <w:rPr>
          <w:rFonts w:ascii="Arial" w:eastAsia="Calibri" w:hAnsi="Arial" w:cs="Arial"/>
          <w:sz w:val="20"/>
          <w:szCs w:val="20"/>
        </w:rPr>
        <w:t>.</w:t>
      </w:r>
    </w:p>
    <w:p w14:paraId="475AF58F" w14:textId="77777777" w:rsidR="007B1E7A" w:rsidRPr="00751AB6" w:rsidRDefault="007B1E7A" w:rsidP="003B1906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“In-house” generated lists that </w:t>
      </w:r>
      <w:r w:rsidR="00777E57">
        <w:rPr>
          <w:rFonts w:ascii="Arial" w:eastAsia="Calibri" w:hAnsi="Arial" w:cs="Arial"/>
          <w:sz w:val="20"/>
          <w:szCs w:val="20"/>
        </w:rPr>
        <w:t xml:space="preserve">do not identify </w:t>
      </w:r>
      <w:r w:rsidR="00132B99">
        <w:rPr>
          <w:rFonts w:ascii="Arial" w:eastAsia="Calibri" w:hAnsi="Arial" w:cs="Arial"/>
          <w:sz w:val="20"/>
          <w:szCs w:val="20"/>
        </w:rPr>
        <w:t>vendors</w:t>
      </w:r>
      <w:r w:rsidR="00777E57">
        <w:rPr>
          <w:rFonts w:ascii="Arial" w:eastAsia="Calibri" w:hAnsi="Arial" w:cs="Arial"/>
          <w:sz w:val="20"/>
          <w:szCs w:val="20"/>
        </w:rPr>
        <w:t xml:space="preserve"> for </w:t>
      </w:r>
      <w:r w:rsidR="0026341A">
        <w:rPr>
          <w:rFonts w:ascii="Arial" w:eastAsia="Calibri" w:hAnsi="Arial" w:cs="Arial"/>
          <w:sz w:val="20"/>
          <w:szCs w:val="20"/>
        </w:rPr>
        <w:t xml:space="preserve">specific </w:t>
      </w:r>
      <w:r w:rsidR="00777E57">
        <w:rPr>
          <w:rFonts w:ascii="Arial" w:eastAsia="Calibri" w:hAnsi="Arial" w:cs="Arial"/>
          <w:sz w:val="20"/>
          <w:szCs w:val="20"/>
        </w:rPr>
        <w:t>work items</w:t>
      </w:r>
      <w:r w:rsidR="00CD33D3">
        <w:rPr>
          <w:rFonts w:ascii="Arial" w:eastAsia="Calibri" w:hAnsi="Arial" w:cs="Arial"/>
          <w:sz w:val="20"/>
          <w:szCs w:val="20"/>
        </w:rPr>
        <w:t xml:space="preserve"> or description</w:t>
      </w:r>
      <w:r w:rsidR="00777E57">
        <w:rPr>
          <w:rFonts w:ascii="Arial" w:eastAsia="Calibri" w:hAnsi="Arial" w:cs="Arial"/>
          <w:sz w:val="20"/>
          <w:szCs w:val="20"/>
        </w:rPr>
        <w:t xml:space="preserve"> being solicited.</w:t>
      </w:r>
    </w:p>
    <w:p w14:paraId="078B4BA4" w14:textId="77777777" w:rsidR="003B1906" w:rsidRDefault="003B1906" w:rsidP="003B1906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0"/>
          <w:szCs w:val="20"/>
        </w:rPr>
      </w:pPr>
      <w:r w:rsidRPr="00751AB6">
        <w:rPr>
          <w:rFonts w:ascii="Arial" w:eastAsia="Calibri" w:hAnsi="Arial" w:cs="Arial"/>
          <w:sz w:val="20"/>
          <w:szCs w:val="20"/>
        </w:rPr>
        <w:t xml:space="preserve">Copies of redundant emails to </w:t>
      </w:r>
      <w:r w:rsidR="007F04AD">
        <w:rPr>
          <w:rFonts w:ascii="Arial" w:eastAsia="Calibri" w:hAnsi="Arial" w:cs="Arial"/>
          <w:sz w:val="20"/>
          <w:szCs w:val="20"/>
        </w:rPr>
        <w:t>vendors</w:t>
      </w:r>
      <w:r w:rsidRPr="00751AB6">
        <w:rPr>
          <w:rFonts w:ascii="Arial" w:eastAsia="Calibri" w:hAnsi="Arial" w:cs="Arial"/>
          <w:sz w:val="20"/>
          <w:szCs w:val="20"/>
        </w:rPr>
        <w:t xml:space="preserve"> containing identical language</w:t>
      </w:r>
      <w:r w:rsidR="0026341A">
        <w:rPr>
          <w:rFonts w:ascii="Arial" w:eastAsia="Calibri" w:hAnsi="Arial" w:cs="Arial"/>
          <w:sz w:val="20"/>
          <w:szCs w:val="20"/>
        </w:rPr>
        <w:t>.</w:t>
      </w:r>
    </w:p>
    <w:p w14:paraId="05E17A25" w14:textId="77777777" w:rsidR="00435040" w:rsidRDefault="00435040" w:rsidP="003B1906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Unsubstantiated </w:t>
      </w:r>
      <w:r w:rsidR="0026341A">
        <w:rPr>
          <w:rFonts w:ascii="Arial" w:eastAsia="Calibri" w:hAnsi="Arial" w:cs="Arial"/>
          <w:sz w:val="20"/>
          <w:szCs w:val="20"/>
        </w:rPr>
        <w:t xml:space="preserve">response </w:t>
      </w:r>
      <w:r>
        <w:rPr>
          <w:rFonts w:ascii="Arial" w:eastAsia="Calibri" w:hAnsi="Arial" w:cs="Arial"/>
          <w:sz w:val="20"/>
          <w:szCs w:val="20"/>
        </w:rPr>
        <w:t>of non-interest from DBE or M</w:t>
      </w:r>
      <w:r w:rsidR="00FC7E1C">
        <w:rPr>
          <w:rFonts w:ascii="Arial" w:eastAsia="Calibri" w:hAnsi="Arial" w:cs="Arial"/>
          <w:sz w:val="20"/>
          <w:szCs w:val="20"/>
        </w:rPr>
        <w:t>BE/</w:t>
      </w:r>
      <w:r>
        <w:rPr>
          <w:rFonts w:ascii="Arial" w:eastAsia="Calibri" w:hAnsi="Arial" w:cs="Arial"/>
          <w:sz w:val="20"/>
          <w:szCs w:val="20"/>
        </w:rPr>
        <w:t>WBE</w:t>
      </w:r>
      <w:r w:rsidR="00FC7E1C">
        <w:rPr>
          <w:rFonts w:ascii="Arial" w:eastAsia="Calibri" w:hAnsi="Arial" w:cs="Arial"/>
          <w:sz w:val="20"/>
          <w:szCs w:val="20"/>
        </w:rPr>
        <w:t>/SDVOB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D0761">
        <w:rPr>
          <w:rFonts w:ascii="Arial" w:eastAsia="Calibri" w:hAnsi="Arial" w:cs="Arial"/>
          <w:sz w:val="20"/>
          <w:szCs w:val="20"/>
        </w:rPr>
        <w:t>vendors</w:t>
      </w:r>
      <w:r w:rsidR="0026341A">
        <w:rPr>
          <w:rFonts w:ascii="Arial" w:eastAsia="Calibri" w:hAnsi="Arial" w:cs="Arial"/>
          <w:sz w:val="20"/>
          <w:szCs w:val="20"/>
        </w:rPr>
        <w:t>.</w:t>
      </w:r>
    </w:p>
    <w:p w14:paraId="36178D52" w14:textId="77777777" w:rsidR="00BA70D2" w:rsidRDefault="00BA70D2" w:rsidP="003B1906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Numerous copies of the entire contract sent to each vendor to attempt to provide quantity in lieu of quality.</w:t>
      </w:r>
    </w:p>
    <w:p w14:paraId="40955F40" w14:textId="77777777" w:rsidR="00435040" w:rsidRPr="00751AB6" w:rsidRDefault="00435040" w:rsidP="00435040">
      <w:pPr>
        <w:pStyle w:val="ListParagraph"/>
        <w:rPr>
          <w:rFonts w:ascii="Arial" w:eastAsia="Calibri" w:hAnsi="Arial" w:cs="Arial"/>
          <w:sz w:val="20"/>
          <w:szCs w:val="20"/>
        </w:rPr>
      </w:pPr>
    </w:p>
    <w:p w14:paraId="3D73F9A2" w14:textId="77777777" w:rsidR="00736362" w:rsidRDefault="00736362" w:rsidP="00435040">
      <w:pPr>
        <w:pStyle w:val="ListParagraph"/>
        <w:textAlignment w:val="baseline"/>
        <w:rPr>
          <w:rFonts w:ascii="Arial" w:eastAsia="Calibri" w:hAnsi="Arial" w:cs="Arial"/>
          <w:sz w:val="20"/>
          <w:szCs w:val="20"/>
        </w:rPr>
      </w:pPr>
    </w:p>
    <w:p w14:paraId="253C9E76" w14:textId="77777777" w:rsidR="00A84328" w:rsidRPr="008776EF" w:rsidRDefault="00A84328" w:rsidP="008776EF">
      <w:pPr>
        <w:textAlignment w:val="baseline"/>
        <w:rPr>
          <w:rFonts w:ascii="Arial" w:eastAsia="Calibri" w:hAnsi="Arial" w:cs="Arial"/>
          <w:sz w:val="20"/>
          <w:szCs w:val="20"/>
        </w:rPr>
      </w:pPr>
    </w:p>
    <w:sectPr w:rsidR="00A84328" w:rsidRPr="008776EF" w:rsidSect="00736362">
      <w:headerReference w:type="even" r:id="rId12"/>
      <w:footerReference w:type="default" r:id="rId13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C8C8F" w14:textId="77777777" w:rsidR="00BF34A2" w:rsidRDefault="00BF34A2" w:rsidP="00312E15">
      <w:r>
        <w:separator/>
      </w:r>
    </w:p>
  </w:endnote>
  <w:endnote w:type="continuationSeparator" w:id="0">
    <w:p w14:paraId="7DDA36FB" w14:textId="77777777" w:rsidR="00BF34A2" w:rsidRDefault="00BF34A2" w:rsidP="00312E15">
      <w:r>
        <w:continuationSeparator/>
      </w:r>
    </w:p>
  </w:endnote>
  <w:endnote w:type="continuationNotice" w:id="1">
    <w:p w14:paraId="3105590F" w14:textId="77777777" w:rsidR="00BF34A2" w:rsidRDefault="00BF3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FB89" w14:textId="77777777" w:rsidR="00D22E66" w:rsidRDefault="00FF6531">
    <w:pPr>
      <w:pStyle w:val="Footer"/>
    </w:pPr>
    <w:r>
      <w:t>Revised 12/</w:t>
    </w:r>
    <w:r w:rsidR="00D22E66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F599" w14:textId="77777777" w:rsidR="00BF34A2" w:rsidRDefault="00BF34A2" w:rsidP="00312E15">
      <w:r>
        <w:separator/>
      </w:r>
    </w:p>
  </w:footnote>
  <w:footnote w:type="continuationSeparator" w:id="0">
    <w:p w14:paraId="01C56280" w14:textId="77777777" w:rsidR="00BF34A2" w:rsidRDefault="00BF34A2" w:rsidP="00312E15">
      <w:r>
        <w:continuationSeparator/>
      </w:r>
    </w:p>
  </w:footnote>
  <w:footnote w:type="continuationNotice" w:id="1">
    <w:p w14:paraId="6CFC91EE" w14:textId="77777777" w:rsidR="00BF34A2" w:rsidRDefault="00BF3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E569" w14:textId="77777777" w:rsidR="00D22E66" w:rsidRDefault="005F4540">
    <w:pPr>
      <w:pStyle w:val="Header"/>
    </w:pPr>
    <w:r>
      <w:rPr>
        <w:noProof/>
      </w:rPr>
      <w:pict w14:anchorId="7E2EF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3AD"/>
    <w:multiLevelType w:val="hybridMultilevel"/>
    <w:tmpl w:val="E7BA7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97035"/>
    <w:multiLevelType w:val="hybridMultilevel"/>
    <w:tmpl w:val="3A2E77A2"/>
    <w:lvl w:ilvl="0" w:tplc="B1AC840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6EE2"/>
    <w:multiLevelType w:val="hybridMultilevel"/>
    <w:tmpl w:val="2548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7050"/>
    <w:multiLevelType w:val="hybridMultilevel"/>
    <w:tmpl w:val="C8B8C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80BED"/>
    <w:multiLevelType w:val="hybridMultilevel"/>
    <w:tmpl w:val="846A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6FAD"/>
    <w:multiLevelType w:val="hybridMultilevel"/>
    <w:tmpl w:val="3A2E77A2"/>
    <w:lvl w:ilvl="0" w:tplc="B1AC840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7007"/>
    <w:multiLevelType w:val="hybridMultilevel"/>
    <w:tmpl w:val="F31C2588"/>
    <w:lvl w:ilvl="0" w:tplc="43F43B42">
      <w:start w:val="1"/>
      <w:numFmt w:val="bullet"/>
      <w:lvlText w:val="•"/>
      <w:lvlJc w:val="left"/>
      <w:pPr>
        <w:tabs>
          <w:tab w:val="num" w:pos="4451"/>
        </w:tabs>
        <w:ind w:left="4451" w:hanging="360"/>
      </w:pPr>
      <w:rPr>
        <w:rFonts w:ascii="Times New Roman" w:hAnsi="Times New Roman" w:hint="default"/>
      </w:rPr>
    </w:lvl>
    <w:lvl w:ilvl="1" w:tplc="CA522B86">
      <w:numFmt w:val="bullet"/>
      <w:lvlText w:val="–"/>
      <w:lvlJc w:val="left"/>
      <w:pPr>
        <w:tabs>
          <w:tab w:val="num" w:pos="5171"/>
        </w:tabs>
        <w:ind w:left="5171" w:hanging="360"/>
      </w:pPr>
      <w:rPr>
        <w:rFonts w:ascii="Times New Roman" w:hAnsi="Times New Roman" w:hint="default"/>
      </w:rPr>
    </w:lvl>
    <w:lvl w:ilvl="2" w:tplc="30523490" w:tentative="1">
      <w:start w:val="1"/>
      <w:numFmt w:val="bullet"/>
      <w:lvlText w:val="•"/>
      <w:lvlJc w:val="left"/>
      <w:pPr>
        <w:tabs>
          <w:tab w:val="num" w:pos="5891"/>
        </w:tabs>
        <w:ind w:left="5891" w:hanging="360"/>
      </w:pPr>
      <w:rPr>
        <w:rFonts w:ascii="Times New Roman" w:hAnsi="Times New Roman" w:hint="default"/>
      </w:rPr>
    </w:lvl>
    <w:lvl w:ilvl="3" w:tplc="D916B936" w:tentative="1">
      <w:start w:val="1"/>
      <w:numFmt w:val="bullet"/>
      <w:lvlText w:val="•"/>
      <w:lvlJc w:val="left"/>
      <w:pPr>
        <w:tabs>
          <w:tab w:val="num" w:pos="6611"/>
        </w:tabs>
        <w:ind w:left="6611" w:hanging="360"/>
      </w:pPr>
      <w:rPr>
        <w:rFonts w:ascii="Times New Roman" w:hAnsi="Times New Roman" w:hint="default"/>
      </w:rPr>
    </w:lvl>
    <w:lvl w:ilvl="4" w:tplc="E4147E2A" w:tentative="1">
      <w:start w:val="1"/>
      <w:numFmt w:val="bullet"/>
      <w:lvlText w:val="•"/>
      <w:lvlJc w:val="left"/>
      <w:pPr>
        <w:tabs>
          <w:tab w:val="num" w:pos="7331"/>
        </w:tabs>
        <w:ind w:left="7331" w:hanging="360"/>
      </w:pPr>
      <w:rPr>
        <w:rFonts w:ascii="Times New Roman" w:hAnsi="Times New Roman" w:hint="default"/>
      </w:rPr>
    </w:lvl>
    <w:lvl w:ilvl="5" w:tplc="77D45DDC" w:tentative="1">
      <w:start w:val="1"/>
      <w:numFmt w:val="bullet"/>
      <w:lvlText w:val="•"/>
      <w:lvlJc w:val="left"/>
      <w:pPr>
        <w:tabs>
          <w:tab w:val="num" w:pos="8051"/>
        </w:tabs>
        <w:ind w:left="8051" w:hanging="360"/>
      </w:pPr>
      <w:rPr>
        <w:rFonts w:ascii="Times New Roman" w:hAnsi="Times New Roman" w:hint="default"/>
      </w:rPr>
    </w:lvl>
    <w:lvl w:ilvl="6" w:tplc="4EC66806" w:tentative="1">
      <w:start w:val="1"/>
      <w:numFmt w:val="bullet"/>
      <w:lvlText w:val="•"/>
      <w:lvlJc w:val="left"/>
      <w:pPr>
        <w:tabs>
          <w:tab w:val="num" w:pos="8771"/>
        </w:tabs>
        <w:ind w:left="8771" w:hanging="360"/>
      </w:pPr>
      <w:rPr>
        <w:rFonts w:ascii="Times New Roman" w:hAnsi="Times New Roman" w:hint="default"/>
      </w:rPr>
    </w:lvl>
    <w:lvl w:ilvl="7" w:tplc="4FF87516" w:tentative="1">
      <w:start w:val="1"/>
      <w:numFmt w:val="bullet"/>
      <w:lvlText w:val="•"/>
      <w:lvlJc w:val="left"/>
      <w:pPr>
        <w:tabs>
          <w:tab w:val="num" w:pos="9491"/>
        </w:tabs>
        <w:ind w:left="9491" w:hanging="360"/>
      </w:pPr>
      <w:rPr>
        <w:rFonts w:ascii="Times New Roman" w:hAnsi="Times New Roman" w:hint="default"/>
      </w:rPr>
    </w:lvl>
    <w:lvl w:ilvl="8" w:tplc="662658BA" w:tentative="1">
      <w:start w:val="1"/>
      <w:numFmt w:val="bullet"/>
      <w:lvlText w:val="•"/>
      <w:lvlJc w:val="left"/>
      <w:pPr>
        <w:tabs>
          <w:tab w:val="num" w:pos="10211"/>
        </w:tabs>
        <w:ind w:left="10211" w:hanging="360"/>
      </w:pPr>
      <w:rPr>
        <w:rFonts w:ascii="Times New Roman" w:hAnsi="Times New Roman" w:hint="default"/>
      </w:rPr>
    </w:lvl>
  </w:abstractNum>
  <w:abstractNum w:abstractNumId="7" w15:restartNumberingAfterBreak="0">
    <w:nsid w:val="7C7D2DFC"/>
    <w:multiLevelType w:val="hybridMultilevel"/>
    <w:tmpl w:val="D3948498"/>
    <w:lvl w:ilvl="0" w:tplc="42B0E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6A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264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88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0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4D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6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8F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6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B7"/>
    <w:rsid w:val="0002002A"/>
    <w:rsid w:val="0003328B"/>
    <w:rsid w:val="000425DC"/>
    <w:rsid w:val="000508D5"/>
    <w:rsid w:val="00064691"/>
    <w:rsid w:val="00084301"/>
    <w:rsid w:val="00091CDA"/>
    <w:rsid w:val="00093528"/>
    <w:rsid w:val="000C501D"/>
    <w:rsid w:val="000D36C3"/>
    <w:rsid w:val="000D7C94"/>
    <w:rsid w:val="001013E1"/>
    <w:rsid w:val="00104BA0"/>
    <w:rsid w:val="001134AF"/>
    <w:rsid w:val="00116EA5"/>
    <w:rsid w:val="0012647A"/>
    <w:rsid w:val="00132B99"/>
    <w:rsid w:val="0013411F"/>
    <w:rsid w:val="00144C29"/>
    <w:rsid w:val="00151054"/>
    <w:rsid w:val="00162D18"/>
    <w:rsid w:val="0016396E"/>
    <w:rsid w:val="00171C3A"/>
    <w:rsid w:val="0017729C"/>
    <w:rsid w:val="001807CD"/>
    <w:rsid w:val="00182B47"/>
    <w:rsid w:val="00185923"/>
    <w:rsid w:val="00186B22"/>
    <w:rsid w:val="001926BC"/>
    <w:rsid w:val="001952C9"/>
    <w:rsid w:val="001C7301"/>
    <w:rsid w:val="001E789C"/>
    <w:rsid w:val="002101C1"/>
    <w:rsid w:val="00227D8C"/>
    <w:rsid w:val="00231372"/>
    <w:rsid w:val="00232772"/>
    <w:rsid w:val="0026341A"/>
    <w:rsid w:val="002642B1"/>
    <w:rsid w:val="00270E8A"/>
    <w:rsid w:val="00294EB7"/>
    <w:rsid w:val="002B15B2"/>
    <w:rsid w:val="002D06EF"/>
    <w:rsid w:val="002E669E"/>
    <w:rsid w:val="00303DBB"/>
    <w:rsid w:val="00312E15"/>
    <w:rsid w:val="00323BBE"/>
    <w:rsid w:val="003309F4"/>
    <w:rsid w:val="00335ACE"/>
    <w:rsid w:val="00373502"/>
    <w:rsid w:val="0038410F"/>
    <w:rsid w:val="00390F6A"/>
    <w:rsid w:val="003A4749"/>
    <w:rsid w:val="003A54B9"/>
    <w:rsid w:val="003B1906"/>
    <w:rsid w:val="003D6261"/>
    <w:rsid w:val="003E04AA"/>
    <w:rsid w:val="0040464F"/>
    <w:rsid w:val="00425FF1"/>
    <w:rsid w:val="00435040"/>
    <w:rsid w:val="004401DE"/>
    <w:rsid w:val="0047236C"/>
    <w:rsid w:val="00485559"/>
    <w:rsid w:val="0049168A"/>
    <w:rsid w:val="00493568"/>
    <w:rsid w:val="004937EF"/>
    <w:rsid w:val="004A1A32"/>
    <w:rsid w:val="004C3C96"/>
    <w:rsid w:val="004D671D"/>
    <w:rsid w:val="00515489"/>
    <w:rsid w:val="005A2355"/>
    <w:rsid w:val="005A4DEF"/>
    <w:rsid w:val="005B11BA"/>
    <w:rsid w:val="005B732B"/>
    <w:rsid w:val="005D0761"/>
    <w:rsid w:val="005F4540"/>
    <w:rsid w:val="00602CF8"/>
    <w:rsid w:val="00605A06"/>
    <w:rsid w:val="00641630"/>
    <w:rsid w:val="00670173"/>
    <w:rsid w:val="0067123E"/>
    <w:rsid w:val="006922DD"/>
    <w:rsid w:val="00693615"/>
    <w:rsid w:val="006D4188"/>
    <w:rsid w:val="006F6B23"/>
    <w:rsid w:val="0071164D"/>
    <w:rsid w:val="00717F76"/>
    <w:rsid w:val="00727AC3"/>
    <w:rsid w:val="00736362"/>
    <w:rsid w:val="007364FC"/>
    <w:rsid w:val="0074645B"/>
    <w:rsid w:val="007511BB"/>
    <w:rsid w:val="00751AB6"/>
    <w:rsid w:val="00754BAE"/>
    <w:rsid w:val="00777E57"/>
    <w:rsid w:val="00787215"/>
    <w:rsid w:val="007961E7"/>
    <w:rsid w:val="007B1E7A"/>
    <w:rsid w:val="007F04AD"/>
    <w:rsid w:val="00800BAA"/>
    <w:rsid w:val="008140D6"/>
    <w:rsid w:val="00820D09"/>
    <w:rsid w:val="0082250D"/>
    <w:rsid w:val="008242D8"/>
    <w:rsid w:val="00826DD1"/>
    <w:rsid w:val="00830842"/>
    <w:rsid w:val="008308B8"/>
    <w:rsid w:val="008418A4"/>
    <w:rsid w:val="00870DC0"/>
    <w:rsid w:val="008776EF"/>
    <w:rsid w:val="00887942"/>
    <w:rsid w:val="008A10CA"/>
    <w:rsid w:val="008B42A6"/>
    <w:rsid w:val="008C6D5A"/>
    <w:rsid w:val="008D3D1C"/>
    <w:rsid w:val="008D40C5"/>
    <w:rsid w:val="0090164C"/>
    <w:rsid w:val="00906865"/>
    <w:rsid w:val="00915916"/>
    <w:rsid w:val="009422BB"/>
    <w:rsid w:val="00942797"/>
    <w:rsid w:val="0094455A"/>
    <w:rsid w:val="0096388E"/>
    <w:rsid w:val="00976DFE"/>
    <w:rsid w:val="00977418"/>
    <w:rsid w:val="0098556C"/>
    <w:rsid w:val="00992C8A"/>
    <w:rsid w:val="009E0D17"/>
    <w:rsid w:val="009E3389"/>
    <w:rsid w:val="009F14D8"/>
    <w:rsid w:val="009F77DB"/>
    <w:rsid w:val="00A0506E"/>
    <w:rsid w:val="00A11D9A"/>
    <w:rsid w:val="00A301B9"/>
    <w:rsid w:val="00A6394B"/>
    <w:rsid w:val="00A63B62"/>
    <w:rsid w:val="00A6578F"/>
    <w:rsid w:val="00A73809"/>
    <w:rsid w:val="00A84328"/>
    <w:rsid w:val="00AB4A47"/>
    <w:rsid w:val="00AC2C90"/>
    <w:rsid w:val="00AD3CE4"/>
    <w:rsid w:val="00AE3B90"/>
    <w:rsid w:val="00B00D19"/>
    <w:rsid w:val="00B023EC"/>
    <w:rsid w:val="00B10E51"/>
    <w:rsid w:val="00B1104C"/>
    <w:rsid w:val="00B11743"/>
    <w:rsid w:val="00B12DE1"/>
    <w:rsid w:val="00B13CB5"/>
    <w:rsid w:val="00B26458"/>
    <w:rsid w:val="00B35A68"/>
    <w:rsid w:val="00B51E43"/>
    <w:rsid w:val="00B55861"/>
    <w:rsid w:val="00B65E17"/>
    <w:rsid w:val="00B7343E"/>
    <w:rsid w:val="00B73BD6"/>
    <w:rsid w:val="00BA165A"/>
    <w:rsid w:val="00BA70D2"/>
    <w:rsid w:val="00BB566C"/>
    <w:rsid w:val="00BC6857"/>
    <w:rsid w:val="00BE2AD4"/>
    <w:rsid w:val="00BE5A05"/>
    <w:rsid w:val="00BF22DB"/>
    <w:rsid w:val="00BF34A2"/>
    <w:rsid w:val="00C07413"/>
    <w:rsid w:val="00C13011"/>
    <w:rsid w:val="00C4349E"/>
    <w:rsid w:val="00CA3B03"/>
    <w:rsid w:val="00CA40B6"/>
    <w:rsid w:val="00CD1C66"/>
    <w:rsid w:val="00CD33D3"/>
    <w:rsid w:val="00CD5915"/>
    <w:rsid w:val="00CE0C2F"/>
    <w:rsid w:val="00D22E66"/>
    <w:rsid w:val="00D4186A"/>
    <w:rsid w:val="00D63092"/>
    <w:rsid w:val="00D75598"/>
    <w:rsid w:val="00DA76E3"/>
    <w:rsid w:val="00DC71E0"/>
    <w:rsid w:val="00DF4F74"/>
    <w:rsid w:val="00E011BD"/>
    <w:rsid w:val="00E115F4"/>
    <w:rsid w:val="00E1659D"/>
    <w:rsid w:val="00E33B4B"/>
    <w:rsid w:val="00E4200C"/>
    <w:rsid w:val="00E42C7E"/>
    <w:rsid w:val="00E504F6"/>
    <w:rsid w:val="00E63053"/>
    <w:rsid w:val="00E63C90"/>
    <w:rsid w:val="00E9357D"/>
    <w:rsid w:val="00E9621A"/>
    <w:rsid w:val="00EB6F64"/>
    <w:rsid w:val="00EB766C"/>
    <w:rsid w:val="00EC0809"/>
    <w:rsid w:val="00EC7732"/>
    <w:rsid w:val="00F01765"/>
    <w:rsid w:val="00F11F5C"/>
    <w:rsid w:val="00F2040E"/>
    <w:rsid w:val="00F362A8"/>
    <w:rsid w:val="00F51900"/>
    <w:rsid w:val="00F55D9B"/>
    <w:rsid w:val="00F80AB9"/>
    <w:rsid w:val="00FA0EC4"/>
    <w:rsid w:val="00FA657C"/>
    <w:rsid w:val="00FA7C19"/>
    <w:rsid w:val="00FC7E1C"/>
    <w:rsid w:val="00FD5C62"/>
    <w:rsid w:val="00FF14E9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3C831B"/>
  <w15:chartTrackingRefBased/>
  <w15:docId w15:val="{E7E59A38-983C-4EB7-9BC1-7A287E4C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7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table" w:styleId="TableGrid">
    <w:name w:val="Table Grid"/>
    <w:basedOn w:val="TableNormal"/>
    <w:uiPriority w:val="59"/>
    <w:unhideWhenUsed/>
    <w:rsid w:val="002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2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0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4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E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E1C"/>
    <w:rPr>
      <w:color w:val="605E5C"/>
      <w:shd w:val="clear" w:color="auto" w:fill="E1DFDD"/>
    </w:rPr>
  </w:style>
  <w:style w:type="paragraph" w:customStyle="1" w:styleId="5thLevelText">
    <w:name w:val="5th Level Text"/>
    <w:link w:val="5thLevelTextChar"/>
    <w:rsid w:val="00FC7E1C"/>
    <w:pPr>
      <w:spacing w:after="0" w:line="240" w:lineRule="auto"/>
      <w:ind w:left="1080"/>
      <w:jc w:val="both"/>
    </w:pPr>
    <w:rPr>
      <w:rFonts w:ascii="Times New Roman" w:eastAsia="Times New Roman" w:hAnsi="Times New Roman"/>
      <w:szCs w:val="14"/>
      <w:lang w:bidi="ar-SA"/>
    </w:rPr>
  </w:style>
  <w:style w:type="character" w:customStyle="1" w:styleId="5thLevelTextChar">
    <w:name w:val="5th Level Text Char"/>
    <w:link w:val="5thLevelText"/>
    <w:rsid w:val="00FC7E1C"/>
    <w:rPr>
      <w:rFonts w:ascii="Times New Roman" w:eastAsia="Times New Roman" w:hAnsi="Times New Roman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Barbara (DOT)</dc:creator>
  <cp:keywords/>
  <dc:description/>
  <cp:lastModifiedBy>Burick, Jodi (DOT)</cp:lastModifiedBy>
  <cp:revision>2</cp:revision>
  <cp:lastPrinted>2019-06-06T17:24:00Z</cp:lastPrinted>
  <dcterms:created xsi:type="dcterms:W3CDTF">2020-05-15T13:54:00Z</dcterms:created>
  <dcterms:modified xsi:type="dcterms:W3CDTF">2020-05-15T13:54:00Z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